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A5E105">
      <w:pPr>
        <w:jc w:val="center"/>
        <w:rPr>
          <w:rFonts w:hint="eastAsia" w:ascii="仿宋_GB2312" w:hAnsi="宋体" w:eastAsia="仿宋_GB2312"/>
          <w:b/>
          <w:sz w:val="24"/>
        </w:rPr>
      </w:pPr>
      <w:r>
        <w:rPr>
          <w:rFonts w:hint="eastAsia" w:ascii="仿宋_GB2312" w:hAnsi="宋体" w:eastAsia="仿宋_GB2312" w:cs="宋体"/>
          <w:b/>
          <w:bCs/>
          <w:color w:val="000000"/>
          <w:kern w:val="0"/>
          <w:sz w:val="32"/>
          <w:szCs w:val="32"/>
        </w:rPr>
        <w:t>最高投标限价编制说明</w:t>
      </w:r>
    </w:p>
    <w:p w14:paraId="5A4B1DD5">
      <w:pPr>
        <w:spacing w:line="460" w:lineRule="exact"/>
        <w:rPr>
          <w:rFonts w:hint="eastAsia" w:ascii="仿宋_GB2312" w:hAnsi="宋体" w:eastAsia="仿宋_GB2312"/>
          <w:b/>
          <w:sz w:val="28"/>
          <w:szCs w:val="28"/>
        </w:rPr>
      </w:pPr>
      <w:r>
        <w:rPr>
          <w:rFonts w:hint="eastAsia" w:ascii="仿宋_GB2312" w:hAnsi="宋体" w:eastAsia="仿宋_GB2312"/>
          <w:b/>
          <w:sz w:val="28"/>
          <w:szCs w:val="28"/>
        </w:rPr>
        <w:t>一、工程概况</w:t>
      </w:r>
    </w:p>
    <w:p w14:paraId="3D6477AA">
      <w:pPr>
        <w:pStyle w:val="17"/>
        <w:widowControl/>
        <w:spacing w:beforeAutospacing="0" w:afterAutospacing="0" w:line="400" w:lineRule="exact"/>
        <w:ind w:firstLine="480" w:firstLineChars="200"/>
        <w:rPr>
          <w:rFonts w:hint="eastAsia" w:ascii="仿宋" w:hAnsi="仿宋" w:eastAsia="仿宋" w:cs="仿宋"/>
          <w:kern w:val="2"/>
        </w:rPr>
      </w:pPr>
      <w:r>
        <w:rPr>
          <w:rFonts w:hint="eastAsia" w:ascii="仿宋" w:hAnsi="仿宋" w:eastAsia="仿宋" w:cs="仿宋"/>
          <w:kern w:val="2"/>
        </w:rPr>
        <w:t>工程名称：中新苏滁高新技术工业坊湖州路厂区（二期）项目，本项目位于滁州市,主要内容为：新建A1~A3厂房、B1~B8、综合楼</w:t>
      </w:r>
      <w:r>
        <w:rPr>
          <w:rFonts w:hint="eastAsia" w:ascii="仿宋" w:hAnsi="仿宋" w:eastAsia="仿宋" w:cs="仿宋"/>
          <w:kern w:val="2"/>
          <w:lang w:eastAsia="zh-CN"/>
        </w:rPr>
        <w:t>、</w:t>
      </w:r>
      <w:r>
        <w:rPr>
          <w:rFonts w:hint="eastAsia" w:ascii="仿宋" w:hAnsi="仿宋" w:eastAsia="仿宋" w:cs="仿宋"/>
          <w:kern w:val="2"/>
        </w:rPr>
        <w:t>门卫</w:t>
      </w:r>
      <w:r>
        <w:rPr>
          <w:rFonts w:hint="eastAsia" w:ascii="仿宋" w:hAnsi="仿宋" w:eastAsia="仿宋" w:cs="仿宋"/>
          <w:kern w:val="2"/>
          <w:lang w:eastAsia="zh-CN"/>
        </w:rPr>
        <w:t>、</w:t>
      </w:r>
      <w:r>
        <w:rPr>
          <w:rFonts w:hint="eastAsia" w:ascii="仿宋" w:hAnsi="仿宋" w:eastAsia="仿宋" w:cs="仿宋"/>
          <w:kern w:val="2"/>
          <w:lang w:val="en-US" w:eastAsia="zh-CN"/>
        </w:rPr>
        <w:t>厂区附属绿化工程、道路工程、雨污水工程、室外安装工程</w:t>
      </w:r>
      <w:r>
        <w:rPr>
          <w:rFonts w:hint="eastAsia" w:ascii="仿宋" w:hAnsi="仿宋" w:eastAsia="仿宋" w:cs="仿宋"/>
          <w:kern w:val="2"/>
        </w:rPr>
        <w:t>，总建筑面积为88413.9</w:t>
      </w:r>
      <w:r>
        <w:rPr>
          <w:rFonts w:hint="eastAsia" w:ascii="仿宋" w:hAnsi="仿宋" w:eastAsia="仿宋" w:cs="仿宋"/>
          <w:kern w:val="2"/>
          <w:lang w:val="en-US" w:eastAsia="zh-CN"/>
        </w:rPr>
        <w:t>3</w:t>
      </w:r>
      <w:r>
        <w:rPr>
          <w:rFonts w:hint="eastAsia" w:ascii="仿宋" w:hAnsi="仿宋" w:eastAsia="仿宋" w:cs="仿宋"/>
          <w:kern w:val="2"/>
        </w:rPr>
        <w:t>平方米</w:t>
      </w:r>
      <w:r>
        <w:rPr>
          <w:rFonts w:hint="eastAsia" w:ascii="仿宋" w:hAnsi="仿宋" w:eastAsia="仿宋" w:cs="仿宋"/>
          <w:kern w:val="2"/>
          <w:lang w:eastAsia="zh-CN"/>
        </w:rPr>
        <w:t>，</w:t>
      </w:r>
      <w:r>
        <w:rPr>
          <w:rFonts w:hint="eastAsia" w:ascii="仿宋" w:hAnsi="仿宋" w:eastAsia="仿宋" w:cs="仿宋"/>
          <w:kern w:val="2"/>
        </w:rPr>
        <w:t>其中A1建筑面积为8176.18 平方米，A2建筑面积：8764.86平方米，A3建筑面积为9942.34平方米，B1~B8建筑面积均为6964.86平方米,综合楼建筑面积为5746.6</w:t>
      </w:r>
      <w:r>
        <w:rPr>
          <w:rFonts w:hint="eastAsia" w:ascii="仿宋" w:hAnsi="仿宋" w:eastAsia="仿宋" w:cs="仿宋"/>
          <w:kern w:val="2"/>
          <w:lang w:val="en-US" w:eastAsia="zh-CN"/>
        </w:rPr>
        <w:t>7</w:t>
      </w:r>
      <w:r>
        <w:rPr>
          <w:rFonts w:hint="eastAsia" w:ascii="仿宋" w:hAnsi="仿宋" w:eastAsia="仿宋" w:cs="仿宋"/>
          <w:kern w:val="2"/>
        </w:rPr>
        <w:t>平方米,北门卫建筑面积为</w:t>
      </w:r>
      <w:r>
        <w:rPr>
          <w:rFonts w:hint="eastAsia" w:ascii="仿宋" w:hAnsi="仿宋" w:eastAsia="仿宋" w:cs="仿宋"/>
          <w:kern w:val="2"/>
          <w:lang w:val="en-US" w:eastAsia="zh-CN"/>
        </w:rPr>
        <w:t>65</w:t>
      </w:r>
      <w:r>
        <w:rPr>
          <w:rFonts w:hint="eastAsia" w:ascii="仿宋" w:hAnsi="仿宋" w:eastAsia="仿宋" w:cs="仿宋"/>
          <w:kern w:val="2"/>
        </w:rPr>
        <w:t>平方米</w:t>
      </w:r>
      <w:r>
        <w:rPr>
          <w:rFonts w:hint="eastAsia" w:ascii="仿宋" w:hAnsi="仿宋" w:eastAsia="仿宋" w:cs="仿宋"/>
          <w:kern w:val="2"/>
          <w:lang w:val="en-US" w:eastAsia="zh-CN"/>
        </w:rPr>
        <w:t>，</w:t>
      </w:r>
      <w:r>
        <w:rPr>
          <w:rFonts w:hint="eastAsia" w:ascii="仿宋" w:hAnsi="仿宋" w:eastAsia="仿宋" w:cs="仿宋"/>
          <w:kern w:val="2"/>
        </w:rPr>
        <w:t>具体详见设计文件及工程量清单内容等。</w:t>
      </w:r>
    </w:p>
    <w:p w14:paraId="31C7E14C">
      <w:pPr>
        <w:spacing w:line="460" w:lineRule="exact"/>
        <w:rPr>
          <w:rFonts w:hint="eastAsia" w:ascii="仿宋_GB2312" w:hAnsi="宋体" w:eastAsia="仿宋_GB2312"/>
          <w:b/>
          <w:sz w:val="28"/>
          <w:szCs w:val="28"/>
        </w:rPr>
      </w:pPr>
      <w:r>
        <w:rPr>
          <w:rFonts w:hint="eastAsia" w:ascii="仿宋_GB2312" w:hAnsi="宋体" w:eastAsia="仿宋_GB2312"/>
          <w:b/>
          <w:sz w:val="28"/>
          <w:szCs w:val="28"/>
        </w:rPr>
        <w:t>二、编制范围</w:t>
      </w:r>
    </w:p>
    <w:p w14:paraId="0D1F9102">
      <w:pPr>
        <w:pStyle w:val="17"/>
        <w:widowControl/>
        <w:spacing w:beforeAutospacing="0" w:afterAutospacing="0" w:line="460" w:lineRule="exact"/>
        <w:ind w:firstLine="480" w:firstLineChars="200"/>
        <w:rPr>
          <w:rFonts w:hint="eastAsia" w:ascii="仿宋" w:hAnsi="仿宋" w:eastAsia="仿宋" w:cs="仿宋"/>
          <w:kern w:val="2"/>
        </w:rPr>
      </w:pPr>
      <w:r>
        <w:rPr>
          <w:rFonts w:hint="eastAsia" w:ascii="仿宋" w:hAnsi="仿宋" w:eastAsia="仿宋" w:cs="仿宋"/>
          <w:kern w:val="2"/>
        </w:rPr>
        <w:t>编制范围：中新苏滁高新技术工业坊湖州路厂区（二期）项目</w:t>
      </w:r>
      <w:r>
        <w:rPr>
          <w:rFonts w:hint="eastAsia" w:ascii="仿宋" w:hAnsi="仿宋" w:eastAsia="仿宋" w:cs="仿宋"/>
          <w:kern w:val="2"/>
          <w:lang w:val="en-US" w:eastAsia="zh-CN"/>
        </w:rPr>
        <w:t>装饰</w:t>
      </w:r>
      <w:r>
        <w:rPr>
          <w:rFonts w:hint="eastAsia" w:ascii="仿宋" w:hAnsi="仿宋" w:eastAsia="仿宋" w:cs="仿宋"/>
          <w:kern w:val="2"/>
        </w:rPr>
        <w:t>图纸全部内容。</w:t>
      </w:r>
    </w:p>
    <w:p w14:paraId="2C90F79C">
      <w:pPr>
        <w:spacing w:line="460" w:lineRule="exact"/>
        <w:rPr>
          <w:rFonts w:hint="eastAsia" w:ascii="仿宋_GB2312" w:hAnsi="宋体" w:eastAsia="仿宋_GB2312"/>
          <w:b/>
          <w:sz w:val="28"/>
          <w:szCs w:val="28"/>
        </w:rPr>
      </w:pPr>
      <w:r>
        <w:rPr>
          <w:rFonts w:hint="eastAsia" w:ascii="仿宋_GB2312" w:hAnsi="宋体" w:eastAsia="仿宋_GB2312"/>
          <w:b/>
          <w:sz w:val="28"/>
          <w:szCs w:val="28"/>
        </w:rPr>
        <w:t>三、最高投标限价编制依据：</w:t>
      </w:r>
    </w:p>
    <w:p w14:paraId="73664DAB">
      <w:pPr>
        <w:spacing w:line="400" w:lineRule="exact"/>
        <w:ind w:firstLine="480" w:firstLineChars="200"/>
        <w:rPr>
          <w:rFonts w:hint="eastAsia" w:ascii="仿宋" w:hAnsi="仿宋" w:eastAsia="仿宋" w:cs="仿宋"/>
          <w:sz w:val="24"/>
        </w:rPr>
      </w:pPr>
      <w:r>
        <w:rPr>
          <w:rFonts w:hint="eastAsia" w:ascii="仿宋" w:hAnsi="仿宋" w:eastAsia="仿宋" w:cs="仿宋"/>
          <w:sz w:val="24"/>
        </w:rPr>
        <w:t>1、依据招标人提供的招标文件、施工图纸和本工程招标清单中所有内容；</w:t>
      </w:r>
    </w:p>
    <w:p w14:paraId="6F9A88E5">
      <w:pPr>
        <w:spacing w:line="400" w:lineRule="exact"/>
        <w:ind w:firstLine="480" w:firstLineChars="200"/>
        <w:rPr>
          <w:rFonts w:hint="eastAsia" w:ascii="仿宋" w:hAnsi="仿宋" w:eastAsia="仿宋" w:cs="仿宋"/>
          <w:sz w:val="24"/>
        </w:rPr>
      </w:pPr>
      <w:r>
        <w:rPr>
          <w:rFonts w:hint="eastAsia" w:ascii="仿宋" w:hAnsi="仿宋" w:eastAsia="仿宋" w:cs="仿宋"/>
          <w:sz w:val="24"/>
        </w:rPr>
        <w:t>2、《建设工程工程量清单计价规范》(GB50500-2013)；</w:t>
      </w:r>
    </w:p>
    <w:p w14:paraId="0320CFF1">
      <w:pPr>
        <w:spacing w:line="400" w:lineRule="exact"/>
        <w:ind w:firstLine="480" w:firstLineChars="200"/>
        <w:rPr>
          <w:rFonts w:hint="eastAsia" w:ascii="仿宋" w:hAnsi="仿宋" w:eastAsia="仿宋" w:cs="仿宋"/>
          <w:sz w:val="24"/>
        </w:rPr>
      </w:pPr>
      <w:r>
        <w:rPr>
          <w:rFonts w:hint="eastAsia" w:ascii="仿宋" w:hAnsi="仿宋" w:eastAsia="仿宋" w:cs="仿宋"/>
          <w:sz w:val="24"/>
        </w:rPr>
        <w:t>3、2018版《安徽省建设工程工程量清单计价办法》；</w:t>
      </w:r>
      <w:bookmarkStart w:id="4" w:name="_GoBack"/>
      <w:bookmarkEnd w:id="4"/>
    </w:p>
    <w:p w14:paraId="595D4B64">
      <w:pPr>
        <w:spacing w:line="400" w:lineRule="exact"/>
        <w:ind w:firstLine="480" w:firstLineChars="200"/>
        <w:rPr>
          <w:rFonts w:hint="eastAsia" w:ascii="仿宋" w:hAnsi="仿宋" w:eastAsia="仿宋" w:cs="仿宋"/>
          <w:sz w:val="24"/>
        </w:rPr>
      </w:pPr>
      <w:r>
        <w:rPr>
          <w:rFonts w:hint="eastAsia" w:ascii="仿宋" w:hAnsi="仿宋" w:eastAsia="仿宋" w:cs="仿宋"/>
          <w:sz w:val="24"/>
        </w:rPr>
        <w:t>4、2018版《安徽省建设工程费用定额》；</w:t>
      </w:r>
    </w:p>
    <w:p w14:paraId="4065A0F5">
      <w:pPr>
        <w:spacing w:line="400" w:lineRule="exact"/>
        <w:ind w:firstLine="480" w:firstLineChars="200"/>
        <w:rPr>
          <w:rFonts w:hint="eastAsia" w:ascii="仿宋" w:hAnsi="仿宋" w:eastAsia="仿宋" w:cs="仿宋"/>
          <w:sz w:val="24"/>
        </w:rPr>
      </w:pPr>
      <w:r>
        <w:rPr>
          <w:rFonts w:hint="eastAsia" w:ascii="仿宋" w:hAnsi="仿宋" w:eastAsia="仿宋" w:cs="仿宋"/>
          <w:sz w:val="24"/>
        </w:rPr>
        <w:t>5、2018版《安徽省建设工程施工机械台班费用编制规则》；</w:t>
      </w:r>
    </w:p>
    <w:p w14:paraId="6FFC3C82">
      <w:pPr>
        <w:spacing w:line="400" w:lineRule="exact"/>
        <w:ind w:firstLine="480" w:firstLineChars="200"/>
        <w:rPr>
          <w:rFonts w:hint="eastAsia" w:ascii="仿宋" w:hAnsi="仿宋" w:eastAsia="仿宋" w:cs="仿宋"/>
          <w:sz w:val="24"/>
        </w:rPr>
      </w:pPr>
      <w:r>
        <w:rPr>
          <w:rFonts w:hint="eastAsia" w:ascii="仿宋" w:hAnsi="仿宋" w:eastAsia="仿宋" w:cs="仿宋"/>
          <w:sz w:val="24"/>
        </w:rPr>
        <w:t>6、2018版《安徽省建设工程计价依据修订内容》；</w:t>
      </w:r>
    </w:p>
    <w:p w14:paraId="7A427970">
      <w:pPr>
        <w:spacing w:line="400" w:lineRule="exact"/>
        <w:ind w:firstLine="480" w:firstLineChars="200"/>
        <w:rPr>
          <w:rFonts w:hint="eastAsia" w:ascii="仿宋" w:hAnsi="仿宋" w:eastAsia="仿宋" w:cs="仿宋"/>
          <w:sz w:val="24"/>
        </w:rPr>
      </w:pPr>
      <w:r>
        <w:rPr>
          <w:rFonts w:hint="eastAsia" w:ascii="仿宋" w:hAnsi="仿宋" w:eastAsia="仿宋" w:cs="仿宋"/>
          <w:sz w:val="24"/>
        </w:rPr>
        <w:t>7、2018版安徽省建设工程计价依据</w:t>
      </w:r>
    </w:p>
    <w:p w14:paraId="07B9AA1D">
      <w:pPr>
        <w:spacing w:line="400" w:lineRule="exact"/>
        <w:ind w:firstLine="480" w:firstLineChars="200"/>
        <w:rPr>
          <w:rFonts w:hint="eastAsia" w:ascii="仿宋" w:hAnsi="仿宋" w:eastAsia="仿宋" w:cs="仿宋"/>
          <w:sz w:val="24"/>
        </w:rPr>
      </w:pPr>
      <w:r>
        <w:rPr>
          <w:rFonts w:hint="eastAsia" w:ascii="仿宋" w:hAnsi="仿宋" w:eastAsia="仿宋" w:cs="仿宋"/>
          <w:sz w:val="24"/>
        </w:rPr>
        <w:t>（1）《安徽省建设工程计价定额（共用册）》；</w:t>
      </w:r>
    </w:p>
    <w:p w14:paraId="38FE8C01">
      <w:pPr>
        <w:spacing w:line="400" w:lineRule="exact"/>
        <w:ind w:firstLine="480" w:firstLineChars="200"/>
        <w:rPr>
          <w:rFonts w:hint="eastAsia" w:ascii="仿宋" w:hAnsi="仿宋" w:eastAsia="仿宋" w:cs="仿宋"/>
          <w:sz w:val="24"/>
        </w:rPr>
      </w:pPr>
      <w:r>
        <w:rPr>
          <w:rFonts w:hint="eastAsia" w:ascii="仿宋" w:hAnsi="仿宋" w:eastAsia="仿宋" w:cs="仿宋"/>
          <w:sz w:val="24"/>
        </w:rPr>
        <w:t>（2）《安徽省建筑工程计价定额》；</w:t>
      </w:r>
    </w:p>
    <w:p w14:paraId="1128D172">
      <w:pPr>
        <w:spacing w:line="400" w:lineRule="exact"/>
        <w:ind w:firstLine="480" w:firstLineChars="200"/>
        <w:rPr>
          <w:rFonts w:hint="eastAsia" w:ascii="仿宋" w:hAnsi="仿宋" w:eastAsia="仿宋" w:cs="仿宋"/>
          <w:sz w:val="24"/>
        </w:rPr>
      </w:pPr>
      <w:r>
        <w:rPr>
          <w:rFonts w:hint="eastAsia" w:ascii="仿宋" w:hAnsi="仿宋" w:eastAsia="仿宋" w:cs="仿宋"/>
          <w:sz w:val="24"/>
        </w:rPr>
        <w:t>（3）《安徽省装饰工程计价定额》；</w:t>
      </w:r>
    </w:p>
    <w:p w14:paraId="3420078C">
      <w:pPr>
        <w:spacing w:line="400" w:lineRule="exact"/>
        <w:ind w:firstLine="480" w:firstLineChars="200"/>
        <w:rPr>
          <w:rFonts w:hint="eastAsia" w:ascii="仿宋" w:hAnsi="仿宋" w:eastAsia="仿宋" w:cs="仿宋"/>
          <w:sz w:val="24"/>
        </w:rPr>
      </w:pPr>
      <w:r>
        <w:rPr>
          <w:rFonts w:hint="eastAsia" w:ascii="仿宋" w:hAnsi="仿宋" w:eastAsia="仿宋" w:cs="仿宋"/>
          <w:sz w:val="24"/>
        </w:rPr>
        <w:t>（4）《安徽省安装工程计价定额》；</w:t>
      </w:r>
    </w:p>
    <w:p w14:paraId="4E833B3E">
      <w:pPr>
        <w:spacing w:line="400" w:lineRule="exact"/>
        <w:ind w:firstLine="480" w:firstLineChars="200"/>
        <w:rPr>
          <w:rFonts w:hint="eastAsia" w:ascii="仿宋" w:hAnsi="仿宋" w:eastAsia="仿宋" w:cs="仿宋"/>
          <w:sz w:val="24"/>
        </w:rPr>
      </w:pPr>
      <w:r>
        <w:rPr>
          <w:rFonts w:hint="eastAsia" w:ascii="仿宋" w:hAnsi="仿宋" w:eastAsia="仿宋" w:cs="仿宋"/>
          <w:sz w:val="24"/>
        </w:rPr>
        <w:t>（5）《安徽省市政工程计价定额》；</w:t>
      </w:r>
    </w:p>
    <w:p w14:paraId="258B0A5C">
      <w:pPr>
        <w:spacing w:line="400" w:lineRule="exact"/>
        <w:ind w:firstLine="480" w:firstLineChars="200"/>
        <w:rPr>
          <w:rFonts w:hint="eastAsia" w:ascii="仿宋" w:hAnsi="仿宋" w:eastAsia="仿宋" w:cs="仿宋"/>
          <w:sz w:val="24"/>
        </w:rPr>
      </w:pPr>
      <w:r>
        <w:rPr>
          <w:rFonts w:hint="eastAsia" w:ascii="仿宋" w:hAnsi="仿宋" w:eastAsia="仿宋" w:cs="仿宋"/>
          <w:sz w:val="24"/>
        </w:rPr>
        <w:t>（6）《安徽省园林绿化工程计价定额》；</w:t>
      </w:r>
    </w:p>
    <w:p w14:paraId="0C07D8E3">
      <w:pPr>
        <w:spacing w:line="400" w:lineRule="exact"/>
        <w:ind w:firstLine="480" w:firstLineChars="200"/>
        <w:rPr>
          <w:rFonts w:hint="eastAsia" w:ascii="仿宋" w:hAnsi="仿宋" w:eastAsia="仿宋" w:cs="仿宋"/>
          <w:sz w:val="24"/>
        </w:rPr>
      </w:pPr>
      <w:r>
        <w:rPr>
          <w:rFonts w:hint="eastAsia" w:ascii="仿宋" w:hAnsi="仿宋" w:eastAsia="仿宋" w:cs="仿宋"/>
          <w:sz w:val="24"/>
        </w:rPr>
        <w:t>8、省、市截止2023年9月的有关政策性文件。</w:t>
      </w:r>
    </w:p>
    <w:p w14:paraId="28D5DF81">
      <w:pPr>
        <w:spacing w:line="400" w:lineRule="exact"/>
        <w:rPr>
          <w:rFonts w:hint="eastAsia" w:ascii="宋体" w:hAnsi="宋体" w:cs="宋体"/>
          <w:b/>
          <w:bCs/>
          <w:kern w:val="0"/>
          <w:sz w:val="28"/>
          <w:szCs w:val="28"/>
        </w:rPr>
      </w:pPr>
      <w:r>
        <w:rPr>
          <w:rFonts w:hint="eastAsia" w:ascii="宋体" w:hAnsi="宋体" w:cs="宋体"/>
          <w:b/>
          <w:bCs/>
          <w:kern w:val="0"/>
          <w:sz w:val="28"/>
          <w:szCs w:val="28"/>
        </w:rPr>
        <w:t>四、取费标准：</w:t>
      </w:r>
    </w:p>
    <w:p w14:paraId="36E24A52">
      <w:pPr>
        <w:spacing w:line="400" w:lineRule="exact"/>
        <w:ind w:firstLine="480" w:firstLineChars="200"/>
        <w:rPr>
          <w:rFonts w:hint="eastAsia" w:ascii="仿宋" w:hAnsi="仿宋" w:eastAsia="仿宋" w:cs="仿宋"/>
          <w:sz w:val="24"/>
        </w:rPr>
      </w:pPr>
      <w:r>
        <w:rPr>
          <w:rFonts w:hint="eastAsia" w:ascii="仿宋" w:hAnsi="仿宋" w:eastAsia="仿宋" w:cs="仿宋"/>
          <w:sz w:val="24"/>
        </w:rPr>
        <w:t>1、执行2018版《安徽省建设工程费用定额》；</w:t>
      </w:r>
    </w:p>
    <w:p w14:paraId="3352D4E6">
      <w:pPr>
        <w:spacing w:line="400" w:lineRule="exact"/>
        <w:ind w:firstLine="480" w:firstLineChars="200"/>
        <w:rPr>
          <w:rFonts w:hint="eastAsia" w:ascii="仿宋" w:hAnsi="仿宋" w:eastAsia="仿宋" w:cs="仿宋"/>
          <w:sz w:val="24"/>
        </w:rPr>
      </w:pPr>
      <w:r>
        <w:rPr>
          <w:rFonts w:hint="eastAsia" w:ascii="仿宋" w:hAnsi="仿宋" w:eastAsia="仿宋" w:cs="仿宋"/>
          <w:sz w:val="24"/>
        </w:rPr>
        <w:t>2、税金执行造价【2019】7号文件按9%计入；</w:t>
      </w:r>
    </w:p>
    <w:p w14:paraId="04130D9E">
      <w:pPr>
        <w:spacing w:line="400" w:lineRule="exact"/>
        <w:ind w:firstLine="480" w:firstLineChars="200"/>
        <w:rPr>
          <w:rFonts w:hint="eastAsia" w:ascii="仿宋" w:hAnsi="仿宋" w:eastAsia="仿宋" w:cs="仿宋"/>
          <w:sz w:val="24"/>
        </w:rPr>
      </w:pPr>
      <w:r>
        <w:rPr>
          <w:rFonts w:hint="eastAsia" w:ascii="仿宋" w:hAnsi="仿宋" w:eastAsia="仿宋" w:cs="仿宋"/>
          <w:sz w:val="24"/>
        </w:rPr>
        <w:t>3、不可竞争费文件执行造价[2021]42号；</w:t>
      </w:r>
    </w:p>
    <w:p w14:paraId="5B818105">
      <w:pPr>
        <w:spacing w:line="400" w:lineRule="exact"/>
        <w:ind w:firstLine="480" w:firstLineChars="200"/>
        <w:rPr>
          <w:rFonts w:hint="eastAsia" w:ascii="仿宋" w:hAnsi="仿宋" w:eastAsia="仿宋" w:cs="仿宋"/>
          <w:sz w:val="24"/>
        </w:rPr>
      </w:pPr>
      <w:r>
        <w:rPr>
          <w:rFonts w:hint="eastAsia" w:ascii="仿宋" w:hAnsi="仿宋" w:eastAsia="仿宋" w:cs="仿宋"/>
          <w:sz w:val="24"/>
        </w:rPr>
        <w:t>4、人工费按照2023年《滁州市工程造价信息》第三季度159元/工日计入。</w:t>
      </w:r>
    </w:p>
    <w:p w14:paraId="1ED759A3">
      <w:pPr>
        <w:pStyle w:val="17"/>
        <w:widowControl/>
        <w:spacing w:beforeAutospacing="0" w:afterAutospacing="0" w:line="460" w:lineRule="exact"/>
        <w:rPr>
          <w:rFonts w:hint="eastAsia" w:ascii="宋体" w:hAnsi="宋体" w:cs="宋体"/>
          <w:b/>
          <w:bCs/>
          <w:sz w:val="28"/>
          <w:szCs w:val="28"/>
        </w:rPr>
      </w:pPr>
      <w:r>
        <w:rPr>
          <w:rFonts w:hint="eastAsia" w:ascii="宋体" w:hAnsi="宋体" w:cs="宋体"/>
          <w:b/>
          <w:bCs/>
          <w:sz w:val="28"/>
          <w:szCs w:val="28"/>
        </w:rPr>
        <w:t>五、材料价格：</w:t>
      </w:r>
    </w:p>
    <w:p w14:paraId="5B23B4AD">
      <w:pPr>
        <w:pStyle w:val="17"/>
        <w:widowControl/>
        <w:spacing w:beforeAutospacing="0" w:afterAutospacing="0" w:line="460" w:lineRule="exact"/>
        <w:ind w:firstLine="480" w:firstLineChars="200"/>
        <w:rPr>
          <w:rFonts w:hint="eastAsia" w:ascii="仿宋" w:hAnsi="仿宋" w:eastAsia="仿宋" w:cs="仿宋"/>
          <w:kern w:val="2"/>
        </w:rPr>
      </w:pPr>
      <w:r>
        <w:rPr>
          <w:rFonts w:hint="eastAsia" w:ascii="仿宋" w:hAnsi="仿宋" w:eastAsia="仿宋" w:cs="仿宋"/>
          <w:kern w:val="2"/>
        </w:rPr>
        <w:t>本次控制价编制材料价格采用2023年第8期滁州信息（不含税价格）中的滁州市本级价格，造价信息上没有的材料价格依次参照合肥、南京信息价及广材网价格，上述也没有的市场询价综合考虑计入本次控制价。</w:t>
      </w:r>
    </w:p>
    <w:p w14:paraId="20EF9651">
      <w:pPr>
        <w:numPr>
          <w:ilvl w:val="0"/>
          <w:numId w:val="1"/>
        </w:numPr>
        <w:spacing w:line="460" w:lineRule="exact"/>
        <w:rPr>
          <w:rFonts w:hint="eastAsia" w:ascii="宋体" w:hAnsi="宋体" w:cs="宋体"/>
          <w:b/>
          <w:bCs/>
          <w:sz w:val="28"/>
          <w:szCs w:val="28"/>
        </w:rPr>
      </w:pPr>
      <w:r>
        <w:rPr>
          <w:rFonts w:hint="eastAsia" w:ascii="宋体" w:hAnsi="宋体" w:cs="宋体"/>
          <w:b/>
          <w:bCs/>
          <w:sz w:val="28"/>
          <w:szCs w:val="28"/>
        </w:rPr>
        <w:t>编制说明：</w:t>
      </w:r>
    </w:p>
    <w:p w14:paraId="4740B64D">
      <w:pPr>
        <w:pStyle w:val="17"/>
        <w:widowControl/>
        <w:spacing w:beforeAutospacing="0" w:afterAutospacing="0" w:line="460" w:lineRule="exact"/>
        <w:ind w:firstLine="480" w:firstLineChars="200"/>
        <w:rPr>
          <w:rFonts w:hint="eastAsia" w:ascii="仿宋" w:hAnsi="仿宋" w:eastAsia="仿宋" w:cs="仿宋"/>
          <w:kern w:val="2"/>
        </w:rPr>
      </w:pPr>
      <w:r>
        <w:rPr>
          <w:rFonts w:hint="eastAsia" w:ascii="仿宋" w:hAnsi="仿宋" w:eastAsia="仿宋" w:cs="仿宋"/>
          <w:kern w:val="2"/>
        </w:rPr>
        <w:t>共性说明：</w:t>
      </w:r>
    </w:p>
    <w:p w14:paraId="2186749B">
      <w:pPr>
        <w:pStyle w:val="17"/>
        <w:widowControl/>
        <w:numPr>
          <w:ilvl w:val="0"/>
          <w:numId w:val="2"/>
        </w:numPr>
        <w:spacing w:beforeAutospacing="0" w:afterAutospacing="0" w:line="460" w:lineRule="exact"/>
        <w:rPr>
          <w:rFonts w:hint="eastAsia" w:ascii="仿宋" w:hAnsi="仿宋" w:eastAsia="仿宋" w:cs="仿宋"/>
          <w:kern w:val="2"/>
        </w:rPr>
      </w:pPr>
      <w:bookmarkStart w:id="0" w:name="_Hlk164517056"/>
      <w:bookmarkStart w:id="1" w:name="_Hlk164517072"/>
      <w:r>
        <w:rPr>
          <w:rFonts w:hint="eastAsia" w:ascii="仿宋" w:hAnsi="仿宋" w:eastAsia="仿宋" w:cs="仿宋"/>
          <w:kern w:val="2"/>
        </w:rPr>
        <w:t>工程量清单列出的每个项目已包括涉及与该细目有关的全部工程内容，投标人应将工程量清单与合同通用条款、专用条款以及技术规范和图纸一起对照阅读；</w:t>
      </w:r>
    </w:p>
    <w:p w14:paraId="4C4A8A8A">
      <w:pPr>
        <w:pStyle w:val="17"/>
        <w:widowControl/>
        <w:numPr>
          <w:ilvl w:val="0"/>
          <w:numId w:val="2"/>
        </w:numPr>
        <w:spacing w:beforeAutospacing="0" w:afterAutospacing="0" w:line="460" w:lineRule="exact"/>
        <w:rPr>
          <w:rFonts w:hint="eastAsia" w:ascii="仿宋" w:hAnsi="仿宋" w:eastAsia="仿宋" w:cs="仿宋"/>
          <w:kern w:val="2"/>
        </w:rPr>
      </w:pPr>
      <w:r>
        <w:rPr>
          <w:rFonts w:hint="eastAsia" w:ascii="仿宋" w:hAnsi="仿宋" w:eastAsia="仿宋" w:cs="仿宋"/>
          <w:kern w:val="2"/>
        </w:rPr>
        <w:t>除非合同另有规定，综合单价均应已包括完成相应该项目的工程内容所需的所有人工、设备、材料和其他伴随服务所发生的所有费用；</w:t>
      </w:r>
    </w:p>
    <w:bookmarkEnd w:id="0"/>
    <w:bookmarkEnd w:id="1"/>
    <w:p w14:paraId="7F3DD8BC">
      <w:pPr>
        <w:pStyle w:val="17"/>
        <w:widowControl/>
        <w:numPr>
          <w:ilvl w:val="0"/>
          <w:numId w:val="2"/>
        </w:numPr>
        <w:spacing w:beforeAutospacing="0" w:afterAutospacing="0" w:line="460" w:lineRule="exact"/>
        <w:rPr>
          <w:rFonts w:hint="eastAsia" w:ascii="仿宋" w:hAnsi="仿宋" w:eastAsia="仿宋" w:cs="仿宋"/>
          <w:kern w:val="2"/>
        </w:rPr>
      </w:pPr>
      <w:bookmarkStart w:id="2" w:name="_Hlk164521028"/>
      <w:bookmarkStart w:id="3" w:name="_Hlk164521015"/>
      <w:r>
        <w:rPr>
          <w:rFonts w:hint="eastAsia" w:ascii="仿宋" w:hAnsi="仿宋" w:eastAsia="仿宋" w:cs="仿宋"/>
          <w:kern w:val="2"/>
        </w:rPr>
        <w:t>根据建设单位的要求，进场的所有主要材料需经过业主确认后方可施工；</w:t>
      </w:r>
    </w:p>
    <w:p w14:paraId="25764FF4">
      <w:pPr>
        <w:pStyle w:val="17"/>
        <w:widowControl/>
        <w:numPr>
          <w:ilvl w:val="0"/>
          <w:numId w:val="2"/>
        </w:numPr>
        <w:spacing w:beforeAutospacing="0" w:afterAutospacing="0" w:line="460" w:lineRule="exact"/>
        <w:rPr>
          <w:rFonts w:hint="eastAsia" w:ascii="仿宋" w:hAnsi="仿宋" w:eastAsia="仿宋" w:cs="仿宋"/>
          <w:kern w:val="2"/>
        </w:rPr>
      </w:pPr>
      <w:r>
        <w:rPr>
          <w:rFonts w:hint="eastAsia" w:ascii="仿宋" w:hAnsi="仿宋" w:eastAsia="仿宋" w:cs="仿宋"/>
          <w:kern w:val="2"/>
        </w:rPr>
        <w:t>厨房二次深化设计，本次不计算</w:t>
      </w:r>
      <w:r>
        <w:rPr>
          <w:rFonts w:hint="eastAsia" w:ascii="仿宋" w:hAnsi="仿宋" w:eastAsia="仿宋" w:cs="仿宋"/>
          <w:kern w:val="2"/>
          <w:lang w:eastAsia="zh-CN"/>
        </w:rPr>
        <w:t>；</w:t>
      </w:r>
    </w:p>
    <w:p w14:paraId="79C1A1D0">
      <w:pPr>
        <w:pStyle w:val="17"/>
        <w:widowControl/>
        <w:numPr>
          <w:ilvl w:val="0"/>
          <w:numId w:val="2"/>
        </w:numPr>
        <w:spacing w:beforeAutospacing="0" w:afterAutospacing="0" w:line="460" w:lineRule="exact"/>
        <w:rPr>
          <w:rFonts w:hint="eastAsia" w:ascii="仿宋" w:hAnsi="仿宋" w:eastAsia="仿宋" w:cs="仿宋"/>
          <w:kern w:val="2"/>
        </w:rPr>
      </w:pPr>
      <w:r>
        <w:rPr>
          <w:rFonts w:hint="eastAsia" w:ascii="仿宋" w:hAnsi="仿宋" w:eastAsia="仿宋" w:cs="仿宋"/>
          <w:kern w:val="2"/>
          <w:lang w:val="en-US" w:eastAsia="zh-CN"/>
        </w:rPr>
        <w:t>单体楼配电房环氧地面厚度为2mm；</w:t>
      </w:r>
    </w:p>
    <w:p w14:paraId="1C1D687E">
      <w:pPr>
        <w:pStyle w:val="17"/>
        <w:widowControl/>
        <w:spacing w:beforeAutospacing="0" w:afterAutospacing="0" w:line="460" w:lineRule="exact"/>
        <w:ind w:firstLine="480" w:firstLineChars="200"/>
        <w:rPr>
          <w:rFonts w:hint="eastAsia" w:ascii="仿宋" w:hAnsi="仿宋" w:eastAsia="仿宋" w:cs="仿宋"/>
          <w:kern w:val="2"/>
        </w:rPr>
      </w:pPr>
      <w:r>
        <w:rPr>
          <w:rFonts w:hint="eastAsia" w:ascii="仿宋" w:hAnsi="仿宋" w:eastAsia="仿宋" w:cs="仿宋"/>
          <w:kern w:val="2"/>
        </w:rPr>
        <w:t>A厂房说明：</w:t>
      </w:r>
    </w:p>
    <w:p w14:paraId="0B770E8F">
      <w:pPr>
        <w:pStyle w:val="17"/>
        <w:widowControl/>
        <w:numPr>
          <w:ilvl w:val="0"/>
          <w:numId w:val="3"/>
        </w:numPr>
        <w:spacing w:beforeAutospacing="0" w:afterAutospacing="0" w:line="460" w:lineRule="exact"/>
        <w:rPr>
          <w:rFonts w:hint="eastAsia" w:ascii="仿宋" w:hAnsi="仿宋" w:eastAsia="仿宋" w:cs="仿宋"/>
          <w:kern w:val="2"/>
        </w:rPr>
      </w:pPr>
      <w:r>
        <w:rPr>
          <w:rFonts w:hint="eastAsia" w:ascii="仿宋" w:hAnsi="仿宋" w:eastAsia="仿宋" w:cs="仿宋"/>
          <w:kern w:val="2"/>
        </w:rPr>
        <w:t>出入口防撞柱为暂定量，此次编制仅计厂房区域出入口，结算按实计入；</w:t>
      </w:r>
    </w:p>
    <w:p w14:paraId="47A2AF48">
      <w:pPr>
        <w:pStyle w:val="17"/>
        <w:widowControl/>
        <w:numPr>
          <w:ilvl w:val="0"/>
          <w:numId w:val="3"/>
        </w:numPr>
        <w:spacing w:beforeAutospacing="0" w:afterAutospacing="0" w:line="460" w:lineRule="exact"/>
        <w:rPr>
          <w:rFonts w:hint="eastAsia" w:ascii="仿宋" w:hAnsi="仿宋" w:eastAsia="仿宋" w:cs="仿宋"/>
          <w:kern w:val="2"/>
        </w:rPr>
      </w:pPr>
      <w:r>
        <w:rPr>
          <w:rFonts w:hint="eastAsia" w:ascii="仿宋" w:hAnsi="仿宋" w:eastAsia="仿宋" w:cs="仿宋"/>
          <w:kern w:val="2"/>
        </w:rPr>
        <w:t>A厂房关于卫生间装饰做法以B厂房做法参考计入；</w:t>
      </w:r>
    </w:p>
    <w:p w14:paraId="33B42FCC">
      <w:pPr>
        <w:pStyle w:val="17"/>
        <w:widowControl/>
        <w:numPr>
          <w:ilvl w:val="0"/>
          <w:numId w:val="3"/>
        </w:numPr>
        <w:spacing w:beforeAutospacing="0" w:afterAutospacing="0" w:line="460" w:lineRule="exact"/>
        <w:rPr>
          <w:rFonts w:hint="eastAsia" w:ascii="仿宋" w:hAnsi="仿宋" w:eastAsia="仿宋" w:cs="仿宋"/>
          <w:kern w:val="2"/>
        </w:rPr>
      </w:pPr>
      <w:r>
        <w:rPr>
          <w:rFonts w:hint="eastAsia" w:ascii="仿宋" w:hAnsi="仿宋" w:eastAsia="仿宋" w:cs="仿宋"/>
          <w:kern w:val="2"/>
        </w:rPr>
        <w:t>楼梯间装饰做法全部计入，天棚、踢脚线做法参考B厂房计入；</w:t>
      </w:r>
    </w:p>
    <w:p w14:paraId="7276A9E7">
      <w:pPr>
        <w:pStyle w:val="17"/>
        <w:widowControl/>
        <w:numPr>
          <w:ilvl w:val="0"/>
          <w:numId w:val="3"/>
        </w:numPr>
        <w:spacing w:beforeAutospacing="0" w:afterAutospacing="0" w:line="460" w:lineRule="exact"/>
        <w:rPr>
          <w:rFonts w:hint="eastAsia" w:ascii="仿宋" w:hAnsi="仿宋" w:eastAsia="仿宋" w:cs="仿宋"/>
          <w:kern w:val="2"/>
        </w:rPr>
      </w:pPr>
      <w:r>
        <w:rPr>
          <w:rFonts w:hint="eastAsia" w:ascii="仿宋" w:hAnsi="仿宋" w:eastAsia="仿宋" w:cs="仿宋"/>
          <w:kern w:val="2"/>
        </w:rPr>
        <w:t>瓷砖墙面抹灰至结构板底</w:t>
      </w:r>
      <w:r>
        <w:rPr>
          <w:rFonts w:hint="eastAsia" w:ascii="仿宋" w:hAnsi="仿宋" w:eastAsia="仿宋" w:cs="仿宋"/>
          <w:kern w:val="2"/>
          <w:lang w:eastAsia="zh-CN"/>
        </w:rPr>
        <w:t>。</w:t>
      </w:r>
    </w:p>
    <w:p w14:paraId="7C246D82">
      <w:pPr>
        <w:pStyle w:val="17"/>
        <w:widowControl/>
        <w:spacing w:beforeAutospacing="0" w:afterAutospacing="0" w:line="460" w:lineRule="exact"/>
        <w:ind w:firstLine="480" w:firstLineChars="200"/>
        <w:rPr>
          <w:rFonts w:hint="eastAsia" w:ascii="仿宋" w:hAnsi="仿宋" w:eastAsia="仿宋" w:cs="仿宋"/>
          <w:kern w:val="2"/>
        </w:rPr>
      </w:pPr>
      <w:r>
        <w:rPr>
          <w:rFonts w:hint="eastAsia" w:ascii="仿宋" w:hAnsi="仿宋" w:eastAsia="仿宋" w:cs="仿宋"/>
          <w:kern w:val="2"/>
        </w:rPr>
        <w:t>B厂房说明：</w:t>
      </w:r>
    </w:p>
    <w:p w14:paraId="4D221084">
      <w:pPr>
        <w:pStyle w:val="17"/>
        <w:widowControl/>
        <w:numPr>
          <w:ilvl w:val="0"/>
          <w:numId w:val="4"/>
        </w:numPr>
        <w:spacing w:beforeAutospacing="0" w:afterAutospacing="0" w:line="460" w:lineRule="exact"/>
        <w:rPr>
          <w:rFonts w:hint="eastAsia" w:ascii="仿宋" w:hAnsi="仿宋" w:eastAsia="仿宋" w:cs="仿宋"/>
          <w:kern w:val="2"/>
        </w:rPr>
      </w:pPr>
      <w:r>
        <w:rPr>
          <w:rFonts w:hint="eastAsia" w:ascii="仿宋" w:hAnsi="仿宋" w:eastAsia="仿宋" w:cs="仿宋"/>
          <w:kern w:val="2"/>
        </w:rPr>
        <w:t>此次编制防水反坎全部按照建筑说明，高度为300mm，同楼板一起浇筑计入；</w:t>
      </w:r>
    </w:p>
    <w:p w14:paraId="37B34FD6">
      <w:pPr>
        <w:pStyle w:val="17"/>
        <w:widowControl/>
        <w:numPr>
          <w:ilvl w:val="0"/>
          <w:numId w:val="4"/>
        </w:numPr>
        <w:spacing w:beforeAutospacing="0" w:afterAutospacing="0" w:line="460" w:lineRule="exact"/>
        <w:rPr>
          <w:rFonts w:hint="eastAsia" w:ascii="仿宋" w:hAnsi="仿宋" w:eastAsia="仿宋" w:cs="仿宋"/>
          <w:kern w:val="2"/>
        </w:rPr>
      </w:pPr>
      <w:r>
        <w:rPr>
          <w:rFonts w:hint="eastAsia" w:ascii="仿宋" w:hAnsi="仿宋" w:eastAsia="仿宋" w:cs="仿宋"/>
          <w:kern w:val="2"/>
        </w:rPr>
        <w:t>此次编制卫生间</w:t>
      </w:r>
      <w:r>
        <w:rPr>
          <w:rFonts w:hint="eastAsia" w:ascii="仿宋" w:hAnsi="仿宋" w:eastAsia="仿宋" w:cs="仿宋"/>
          <w:kern w:val="2"/>
          <w:lang w:val="en-US" w:eastAsia="zh-CN"/>
        </w:rPr>
        <w:t>内所有装饰面层都不计入本次报价内</w:t>
      </w:r>
      <w:r>
        <w:rPr>
          <w:rFonts w:hint="eastAsia" w:ascii="仿宋" w:hAnsi="仿宋" w:eastAsia="仿宋" w:cs="仿宋"/>
          <w:kern w:val="2"/>
        </w:rPr>
        <w:t>；</w:t>
      </w:r>
    </w:p>
    <w:p w14:paraId="04B1DEDA">
      <w:pPr>
        <w:pStyle w:val="17"/>
        <w:widowControl/>
        <w:numPr>
          <w:ilvl w:val="0"/>
          <w:numId w:val="4"/>
        </w:numPr>
        <w:spacing w:beforeAutospacing="0" w:afterAutospacing="0" w:line="460" w:lineRule="exact"/>
        <w:rPr>
          <w:rFonts w:hint="eastAsia" w:ascii="仿宋" w:hAnsi="仿宋" w:eastAsia="仿宋" w:cs="仿宋"/>
          <w:kern w:val="2"/>
        </w:rPr>
      </w:pPr>
      <w:r>
        <w:rPr>
          <w:rFonts w:hint="eastAsia" w:ascii="仿宋" w:hAnsi="仿宋" w:eastAsia="仿宋" w:cs="仿宋"/>
          <w:kern w:val="2"/>
        </w:rPr>
        <w:t>此次编制楼梯间</w:t>
      </w:r>
      <w:r>
        <w:rPr>
          <w:rFonts w:hint="eastAsia" w:ascii="仿宋" w:hAnsi="仿宋" w:eastAsia="仿宋" w:cs="仿宋"/>
          <w:kern w:val="2"/>
          <w:lang w:val="en-US" w:eastAsia="zh-CN"/>
        </w:rPr>
        <w:t>内所有装饰面层都计入本次报价内</w:t>
      </w:r>
      <w:r>
        <w:rPr>
          <w:rFonts w:hint="eastAsia" w:ascii="仿宋" w:hAnsi="仿宋" w:eastAsia="仿宋" w:cs="仿宋"/>
          <w:kern w:val="2"/>
          <w:lang w:eastAsia="zh-CN"/>
        </w:rPr>
        <w:t>。</w:t>
      </w:r>
    </w:p>
    <w:p w14:paraId="22775A5C">
      <w:pPr>
        <w:pStyle w:val="17"/>
        <w:widowControl/>
        <w:numPr>
          <w:ilvl w:val="0"/>
          <w:numId w:val="4"/>
        </w:numPr>
        <w:spacing w:beforeAutospacing="0" w:afterAutospacing="0" w:line="460" w:lineRule="exact"/>
        <w:rPr>
          <w:rFonts w:hint="eastAsia" w:ascii="仿宋" w:hAnsi="仿宋" w:eastAsia="仿宋" w:cs="仿宋"/>
          <w:kern w:val="2"/>
        </w:rPr>
      </w:pPr>
      <w:r>
        <w:rPr>
          <w:rFonts w:hint="eastAsia" w:ascii="仿宋" w:hAnsi="仿宋" w:eastAsia="仿宋" w:cs="仿宋"/>
          <w:kern w:val="2"/>
          <w:lang w:val="en-US" w:eastAsia="zh-CN"/>
        </w:rPr>
        <w:t>金刚砂地坪不计入本次报价内、配电间环氧地坪计入本次报价。</w:t>
      </w:r>
    </w:p>
    <w:p w14:paraId="55C9A2A7">
      <w:pPr>
        <w:pStyle w:val="17"/>
        <w:widowControl/>
        <w:spacing w:beforeAutospacing="0" w:afterAutospacing="0" w:line="460" w:lineRule="exact"/>
        <w:ind w:firstLine="480" w:firstLineChars="200"/>
        <w:rPr>
          <w:rFonts w:hint="eastAsia" w:ascii="仿宋" w:hAnsi="仿宋" w:eastAsia="仿宋" w:cs="仿宋"/>
          <w:kern w:val="2"/>
        </w:rPr>
      </w:pPr>
      <w:r>
        <w:rPr>
          <w:rFonts w:hint="eastAsia" w:ascii="仿宋" w:hAnsi="仿宋" w:eastAsia="仿宋" w:cs="仿宋"/>
          <w:kern w:val="2"/>
        </w:rPr>
        <w:t>综合楼说明：</w:t>
      </w:r>
    </w:p>
    <w:p w14:paraId="33A3BEA9">
      <w:pPr>
        <w:pStyle w:val="17"/>
        <w:widowControl/>
        <w:numPr>
          <w:ilvl w:val="0"/>
          <w:numId w:val="5"/>
        </w:numPr>
        <w:spacing w:beforeAutospacing="0" w:afterAutospacing="0" w:line="460" w:lineRule="exact"/>
        <w:rPr>
          <w:rFonts w:hint="eastAsia" w:ascii="仿宋" w:hAnsi="仿宋" w:eastAsia="仿宋" w:cs="仿宋"/>
          <w:kern w:val="2"/>
        </w:rPr>
      </w:pPr>
      <w:r>
        <w:rPr>
          <w:rFonts w:hint="eastAsia" w:ascii="仿宋" w:hAnsi="仿宋" w:eastAsia="仿宋" w:cs="仿宋"/>
          <w:kern w:val="2"/>
        </w:rPr>
        <w:t>此次编制防水反坎全部按照建筑说明，高度为300mm，同楼板一起浇筑计入；</w:t>
      </w:r>
    </w:p>
    <w:p w14:paraId="223BC871">
      <w:pPr>
        <w:pStyle w:val="17"/>
        <w:widowControl/>
        <w:numPr>
          <w:ilvl w:val="0"/>
          <w:numId w:val="5"/>
        </w:numPr>
        <w:spacing w:beforeAutospacing="0" w:afterAutospacing="0" w:line="460" w:lineRule="exact"/>
        <w:rPr>
          <w:rFonts w:hint="eastAsia" w:ascii="仿宋" w:hAnsi="仿宋" w:eastAsia="仿宋" w:cs="仿宋"/>
          <w:kern w:val="2"/>
        </w:rPr>
      </w:pPr>
      <w:r>
        <w:rPr>
          <w:rFonts w:hint="eastAsia" w:ascii="仿宋" w:hAnsi="仿宋" w:eastAsia="仿宋" w:cs="仿宋"/>
          <w:kern w:val="2"/>
          <w:highlight w:val="none"/>
        </w:rPr>
        <w:t>此次编制地面防水翻</w:t>
      </w:r>
      <w:r>
        <w:rPr>
          <w:rFonts w:hint="eastAsia" w:ascii="仿宋" w:hAnsi="仿宋" w:eastAsia="仿宋" w:cs="仿宋"/>
          <w:kern w:val="2"/>
          <w:highlight w:val="none"/>
          <w:lang w:val="en-US" w:eastAsia="zh-CN"/>
        </w:rPr>
        <w:t>边</w:t>
      </w:r>
      <w:r>
        <w:rPr>
          <w:rFonts w:hint="eastAsia" w:ascii="仿宋" w:hAnsi="仿宋" w:eastAsia="仿宋" w:cs="仿宋"/>
          <w:kern w:val="2"/>
          <w:highlight w:val="none"/>
        </w:rPr>
        <w:t>取消，墙面防水统一按照2m高计入</w:t>
      </w:r>
      <w:r>
        <w:rPr>
          <w:rFonts w:hint="eastAsia" w:ascii="仿宋" w:hAnsi="仿宋" w:eastAsia="仿宋" w:cs="仿宋"/>
          <w:kern w:val="2"/>
          <w:highlight w:val="none"/>
          <w:lang w:eastAsia="zh-CN"/>
        </w:rPr>
        <w:t>，</w:t>
      </w:r>
      <w:r>
        <w:rPr>
          <w:rFonts w:hint="eastAsia" w:ascii="仿宋" w:hAnsi="仿宋" w:eastAsia="仿宋" w:cs="仿宋"/>
          <w:kern w:val="2"/>
          <w:highlight w:val="none"/>
          <w:lang w:val="en-US" w:eastAsia="zh-CN"/>
        </w:rPr>
        <w:t>顶棚防水不计入</w:t>
      </w:r>
      <w:r>
        <w:rPr>
          <w:rFonts w:hint="eastAsia" w:ascii="仿宋" w:hAnsi="仿宋" w:eastAsia="仿宋" w:cs="仿宋"/>
          <w:kern w:val="2"/>
        </w:rPr>
        <w:t>；</w:t>
      </w:r>
    </w:p>
    <w:p w14:paraId="3E77A8AA">
      <w:pPr>
        <w:pStyle w:val="17"/>
        <w:widowControl/>
        <w:numPr>
          <w:ilvl w:val="0"/>
          <w:numId w:val="5"/>
        </w:numPr>
        <w:spacing w:beforeAutospacing="0" w:afterAutospacing="0" w:line="460" w:lineRule="exact"/>
        <w:rPr>
          <w:rFonts w:hint="eastAsia" w:ascii="仿宋" w:hAnsi="仿宋" w:eastAsia="仿宋" w:cs="仿宋"/>
          <w:kern w:val="2"/>
        </w:rPr>
      </w:pPr>
      <w:r>
        <w:rPr>
          <w:rFonts w:hint="eastAsia" w:ascii="仿宋" w:hAnsi="仿宋" w:eastAsia="仿宋" w:cs="仿宋"/>
          <w:kern w:val="2"/>
          <w:lang w:val="en-US" w:eastAsia="zh-CN"/>
        </w:rPr>
        <w:t>此次</w:t>
      </w:r>
      <w:r>
        <w:rPr>
          <w:rFonts w:hint="eastAsia" w:ascii="仿宋" w:hAnsi="仿宋" w:eastAsia="仿宋" w:cs="仿宋"/>
          <w:kern w:val="2"/>
        </w:rPr>
        <w:t>编制外挑空调板处1.2厚穿孔金属板取消，参照a厂房的空调栏杆计入；</w:t>
      </w:r>
    </w:p>
    <w:p w14:paraId="570AC8F7">
      <w:pPr>
        <w:pStyle w:val="17"/>
        <w:widowControl/>
        <w:numPr>
          <w:ilvl w:val="0"/>
          <w:numId w:val="5"/>
        </w:numPr>
        <w:spacing w:beforeAutospacing="0" w:afterAutospacing="0" w:line="460" w:lineRule="exact"/>
        <w:rPr>
          <w:rFonts w:hint="eastAsia" w:ascii="仿宋" w:hAnsi="仿宋" w:eastAsia="仿宋" w:cs="仿宋"/>
          <w:kern w:val="2"/>
        </w:rPr>
      </w:pPr>
      <w:r>
        <w:rPr>
          <w:rFonts w:hint="eastAsia" w:ascii="仿宋" w:hAnsi="仿宋" w:eastAsia="仿宋" w:cs="仿宋"/>
          <w:kern w:val="2"/>
        </w:rPr>
        <w:t>此次编制卫生间隔板</w:t>
      </w:r>
      <w:r>
        <w:rPr>
          <w:rFonts w:hint="eastAsia" w:ascii="仿宋" w:hAnsi="仿宋" w:eastAsia="仿宋" w:cs="仿宋"/>
          <w:kern w:val="2"/>
          <w:lang w:eastAsia="zh-CN"/>
        </w:rPr>
        <w:t>、</w:t>
      </w:r>
      <w:r>
        <w:rPr>
          <w:rFonts w:hint="eastAsia" w:ascii="仿宋" w:hAnsi="仿宋" w:eastAsia="仿宋" w:cs="仿宋"/>
          <w:kern w:val="2"/>
        </w:rPr>
        <w:t>洗手池</w:t>
      </w:r>
      <w:r>
        <w:rPr>
          <w:rFonts w:hint="eastAsia" w:ascii="仿宋" w:hAnsi="仿宋" w:eastAsia="仿宋" w:cs="仿宋"/>
          <w:kern w:val="2"/>
          <w:lang w:eastAsia="zh-CN"/>
        </w:rPr>
        <w:t>、</w:t>
      </w:r>
      <w:r>
        <w:rPr>
          <w:rFonts w:hint="eastAsia" w:ascii="仿宋" w:hAnsi="仿宋" w:eastAsia="仿宋" w:cs="仿宋"/>
          <w:kern w:val="2"/>
        </w:rPr>
        <w:t>热水器</w:t>
      </w:r>
      <w:r>
        <w:rPr>
          <w:rFonts w:hint="eastAsia" w:ascii="仿宋" w:hAnsi="仿宋" w:eastAsia="仿宋" w:cs="仿宋"/>
          <w:kern w:val="2"/>
          <w:lang w:eastAsia="zh-CN"/>
        </w:rPr>
        <w:t>、</w:t>
      </w:r>
      <w:r>
        <w:rPr>
          <w:rFonts w:hint="eastAsia" w:ascii="仿宋" w:hAnsi="仿宋" w:eastAsia="仿宋" w:cs="仿宋"/>
          <w:kern w:val="2"/>
        </w:rPr>
        <w:t>扫把池、化妆镜等不计入。</w:t>
      </w:r>
    </w:p>
    <w:p w14:paraId="1510C777">
      <w:pPr>
        <w:pStyle w:val="17"/>
        <w:widowControl/>
        <w:spacing w:beforeAutospacing="0" w:afterAutospacing="0"/>
        <w:ind w:firstLine="440" w:firstLineChars="200"/>
        <w:rPr>
          <w:rFonts w:hint="eastAsia" w:ascii="仿宋" w:hAnsi="仿宋" w:eastAsia="仿宋" w:cs="仿宋"/>
          <w:kern w:val="2"/>
        </w:rPr>
      </w:pPr>
      <w:r>
        <w:rPr>
          <w:rFonts w:hint="eastAsia" w:ascii="宋体" w:hAnsi="宋体" w:cs="宋体"/>
          <w:sz w:val="22"/>
          <w:szCs w:val="22"/>
        </w:rPr>
        <w:t>门卫：</w:t>
      </w:r>
    </w:p>
    <w:p w14:paraId="6DEFFEF6">
      <w:pPr>
        <w:pStyle w:val="17"/>
        <w:widowControl/>
        <w:numPr>
          <w:ilvl w:val="0"/>
          <w:numId w:val="6"/>
        </w:numPr>
        <w:spacing w:beforeAutospacing="0" w:afterAutospacing="0" w:line="460" w:lineRule="exact"/>
        <w:rPr>
          <w:rFonts w:ascii="仿宋" w:hAnsi="仿宋" w:eastAsia="仿宋" w:cs="仿宋"/>
          <w:kern w:val="2"/>
        </w:rPr>
      </w:pPr>
      <w:r>
        <w:rPr>
          <w:rFonts w:ascii="仿宋" w:hAnsi="仿宋" w:eastAsia="仿宋" w:cs="仿宋"/>
          <w:kern w:val="2"/>
        </w:rPr>
        <w:t>电动管理门</w:t>
      </w:r>
      <w:r>
        <w:rPr>
          <w:rFonts w:hint="eastAsia" w:ascii="仿宋" w:hAnsi="仿宋" w:eastAsia="仿宋" w:cs="仿宋"/>
          <w:kern w:val="2"/>
        </w:rPr>
        <w:t>及伸缩门参照一期计入</w:t>
      </w:r>
      <w:r>
        <w:rPr>
          <w:rFonts w:hint="eastAsia" w:ascii="仿宋" w:hAnsi="仿宋" w:eastAsia="仿宋" w:cs="仿宋"/>
          <w:kern w:val="2"/>
          <w:lang w:eastAsia="zh-CN"/>
        </w:rPr>
        <w:t>；</w:t>
      </w:r>
    </w:p>
    <w:p w14:paraId="4BFC7765">
      <w:pPr>
        <w:pStyle w:val="17"/>
        <w:widowControl/>
        <w:numPr>
          <w:ilvl w:val="0"/>
          <w:numId w:val="6"/>
        </w:numPr>
        <w:spacing w:beforeAutospacing="0" w:afterAutospacing="0" w:line="460" w:lineRule="exact"/>
        <w:rPr>
          <w:rFonts w:hint="eastAsia" w:ascii="仿宋" w:hAnsi="仿宋" w:eastAsia="仿宋" w:cs="仿宋"/>
          <w:kern w:val="2"/>
        </w:rPr>
      </w:pPr>
      <w:r>
        <w:rPr>
          <w:rFonts w:hint="eastAsia" w:ascii="仿宋" w:hAnsi="仿宋" w:eastAsia="仿宋" w:cs="仿宋"/>
          <w:kern w:val="2"/>
          <w:lang w:val="en-US" w:eastAsia="zh-CN"/>
        </w:rPr>
        <w:t>西门卫伸缩门以及门库计入到北门中。</w:t>
      </w:r>
    </w:p>
    <w:bookmarkEnd w:id="2"/>
    <w:bookmarkEnd w:id="3"/>
    <w:p w14:paraId="3B3CD0E8">
      <w:pPr>
        <w:spacing w:line="460" w:lineRule="exact"/>
        <w:rPr>
          <w:rFonts w:hint="eastAsia" w:asciiTheme="minorEastAsia" w:hAnsiTheme="minorEastAsia" w:eastAsiaTheme="minorEastAsia" w:cstheme="minorEastAsia"/>
          <w:b/>
          <w:bCs/>
          <w:sz w:val="24"/>
        </w:rPr>
      </w:pPr>
      <w:r>
        <w:rPr>
          <w:rFonts w:hint="eastAsia" w:asciiTheme="minorEastAsia" w:hAnsiTheme="minorEastAsia" w:eastAsiaTheme="minorEastAsia" w:cstheme="minorEastAsia"/>
          <w:b/>
          <w:bCs/>
          <w:sz w:val="24"/>
        </w:rPr>
        <w:t>七、暂列金额及专业工程暂估价</w:t>
      </w:r>
    </w:p>
    <w:p w14:paraId="2AA84D2C">
      <w:pPr>
        <w:spacing w:line="460" w:lineRule="exact"/>
        <w:ind w:firstLine="480" w:firstLineChars="200"/>
        <w:rPr>
          <w:rFonts w:hint="eastAsia" w:asciiTheme="minorEastAsia" w:hAnsiTheme="minorEastAsia" w:eastAsiaTheme="minorEastAsia" w:cstheme="minorEastAsia"/>
          <w:b/>
          <w:bCs/>
          <w:sz w:val="24"/>
        </w:rPr>
      </w:pPr>
      <w:r>
        <w:rPr>
          <w:rFonts w:hint="eastAsia" w:ascii="仿宋" w:hAnsi="仿宋" w:eastAsia="仿宋" w:cs="仿宋"/>
          <w:sz w:val="24"/>
        </w:rPr>
        <w:t>本项目暂列金额</w:t>
      </w:r>
      <w:r>
        <w:rPr>
          <w:rFonts w:hint="eastAsia" w:ascii="仿宋" w:hAnsi="仿宋" w:eastAsia="仿宋" w:cs="仿宋"/>
          <w:sz w:val="24"/>
          <w:lang w:val="en-US" w:eastAsia="zh-CN"/>
        </w:rPr>
        <w:t>26</w:t>
      </w:r>
      <w:r>
        <w:rPr>
          <w:rFonts w:hint="eastAsia" w:ascii="仿宋" w:hAnsi="仿宋" w:eastAsia="仿宋" w:cs="仿宋"/>
          <w:sz w:val="24"/>
        </w:rPr>
        <w:t>万元、专业工程暂估价0万元。</w:t>
      </w:r>
    </w:p>
    <w:p w14:paraId="2E347012">
      <w:pPr>
        <w:spacing w:line="460" w:lineRule="exact"/>
        <w:rPr>
          <w:rFonts w:hint="eastAsia" w:asciiTheme="minorEastAsia" w:hAnsiTheme="minorEastAsia" w:eastAsiaTheme="minorEastAsia" w:cstheme="minorEastAsia"/>
          <w:b/>
          <w:bCs/>
          <w:sz w:val="24"/>
        </w:rPr>
      </w:pPr>
      <w:r>
        <w:rPr>
          <w:rFonts w:hint="eastAsia" w:asciiTheme="minorEastAsia" w:hAnsiTheme="minorEastAsia" w:eastAsiaTheme="minorEastAsia" w:cstheme="minorEastAsia"/>
          <w:b/>
          <w:bCs/>
          <w:sz w:val="24"/>
        </w:rPr>
        <w:t>八、编制结论</w:t>
      </w:r>
    </w:p>
    <w:p w14:paraId="50592B69">
      <w:pPr>
        <w:spacing w:line="460" w:lineRule="exact"/>
        <w:ind w:firstLine="480" w:firstLineChars="200"/>
        <w:rPr>
          <w:rFonts w:hint="eastAsia" w:ascii="仿宋" w:hAnsi="仿宋" w:eastAsia="仿宋" w:cs="仿宋"/>
          <w:sz w:val="24"/>
        </w:rPr>
      </w:pPr>
      <w:r>
        <w:rPr>
          <w:rFonts w:hint="eastAsia" w:ascii="仿宋" w:hAnsi="仿宋" w:eastAsia="仿宋" w:cs="仿宋"/>
          <w:sz w:val="24"/>
        </w:rPr>
        <w:t>最高投标限价小写：5469356.41元，大写：</w:t>
      </w:r>
      <w:r>
        <w:rPr>
          <w:rFonts w:hint="eastAsia" w:ascii="仿宋" w:hAnsi="仿宋" w:eastAsia="仿宋" w:cs="仿宋"/>
          <w:sz w:val="24"/>
          <w:lang w:val="en-US" w:eastAsia="zh-CN"/>
        </w:rPr>
        <w:t>伍佰肆拾陆万玖仟叁佰伍拾陆元肆角壹分</w:t>
      </w:r>
      <w:r>
        <w:rPr>
          <w:rFonts w:hint="eastAsia" w:ascii="仿宋" w:hAnsi="仿宋" w:eastAsia="仿宋" w:cs="仿宋"/>
          <w:sz w:val="24"/>
        </w:rPr>
        <w:t xml:space="preserve">。 </w:t>
      </w:r>
    </w:p>
    <w:p w14:paraId="133B8EC2">
      <w:pPr>
        <w:spacing w:line="460" w:lineRule="exact"/>
        <w:rPr>
          <w:rFonts w:hint="eastAsia" w:ascii="仿宋" w:hAnsi="仿宋" w:eastAsia="仿宋" w:cs="仿宋"/>
          <w:sz w:val="24"/>
        </w:rPr>
      </w:pPr>
      <w:r>
        <w:rPr>
          <w:rFonts w:hint="eastAsia" w:ascii="仿宋" w:hAnsi="仿宋" w:eastAsia="仿宋" w:cs="仿宋"/>
          <w:sz w:val="24"/>
        </w:rPr>
        <w:t xml:space="preserve"> </w:t>
      </w:r>
    </w:p>
    <w:p w14:paraId="7A8AE034">
      <w:pPr>
        <w:rPr>
          <w:rFonts w:hint="eastAsia" w:ascii="仿宋" w:hAnsi="仿宋" w:eastAsia="仿宋" w:cs="仿宋"/>
          <w:sz w:val="24"/>
        </w:rPr>
      </w:pPr>
    </w:p>
    <w:p w14:paraId="2BFDAF8F">
      <w:pPr>
        <w:jc w:val="right"/>
      </w:pPr>
      <w:r>
        <w:rPr>
          <w:rFonts w:hint="eastAsia" w:ascii="仿宋" w:hAnsi="仿宋" w:eastAsia="仿宋" w:cs="仿宋"/>
          <w:sz w:val="24"/>
        </w:rPr>
        <w:t>2025年</w:t>
      </w:r>
      <w:r>
        <w:rPr>
          <w:rFonts w:hint="eastAsia" w:ascii="仿宋" w:hAnsi="仿宋" w:eastAsia="仿宋" w:cs="仿宋"/>
          <w:sz w:val="24"/>
          <w:lang w:val="en-US" w:eastAsia="zh-CN"/>
        </w:rPr>
        <w:t>10</w:t>
      </w:r>
      <w:r>
        <w:rPr>
          <w:rFonts w:hint="eastAsia" w:ascii="仿宋" w:hAnsi="仿宋" w:eastAsia="仿宋" w:cs="仿宋"/>
          <w:sz w:val="24"/>
        </w:rPr>
        <w:t>月</w:t>
      </w:r>
      <w:r>
        <w:rPr>
          <w:rFonts w:hint="eastAsia" w:ascii="仿宋" w:hAnsi="仿宋" w:eastAsia="仿宋" w:cs="仿宋"/>
          <w:sz w:val="24"/>
          <w:lang w:val="en-US" w:eastAsia="zh-CN"/>
        </w:rPr>
        <w:t>29</w:t>
      </w:r>
      <w:r>
        <w:rPr>
          <w:rFonts w:hint="eastAsia" w:ascii="仿宋" w:hAnsi="仿宋" w:eastAsia="仿宋" w:cs="仿宋"/>
          <w:sz w:val="24"/>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13093B"/>
    <w:multiLevelType w:val="singleLevel"/>
    <w:tmpl w:val="9213093B"/>
    <w:lvl w:ilvl="0" w:tentative="0">
      <w:start w:val="1"/>
      <w:numFmt w:val="decimal"/>
      <w:suff w:val="nothing"/>
      <w:lvlText w:val="%1、"/>
      <w:lvlJc w:val="left"/>
      <w:pPr>
        <w:ind w:left="420" w:firstLine="0"/>
      </w:pPr>
    </w:lvl>
  </w:abstractNum>
  <w:abstractNum w:abstractNumId="1">
    <w:nsid w:val="B32B27B1"/>
    <w:multiLevelType w:val="singleLevel"/>
    <w:tmpl w:val="B32B27B1"/>
    <w:lvl w:ilvl="0" w:tentative="0">
      <w:start w:val="1"/>
      <w:numFmt w:val="decimal"/>
      <w:suff w:val="nothing"/>
      <w:lvlText w:val="%1、"/>
      <w:lvlJc w:val="left"/>
      <w:pPr>
        <w:ind w:left="420"/>
      </w:pPr>
    </w:lvl>
  </w:abstractNum>
  <w:abstractNum w:abstractNumId="2">
    <w:nsid w:val="CF032A42"/>
    <w:multiLevelType w:val="singleLevel"/>
    <w:tmpl w:val="CF032A42"/>
    <w:lvl w:ilvl="0" w:tentative="0">
      <w:start w:val="6"/>
      <w:numFmt w:val="chineseCounting"/>
      <w:suff w:val="nothing"/>
      <w:lvlText w:val="%1、"/>
      <w:lvlJc w:val="left"/>
      <w:rPr>
        <w:rFonts w:hint="eastAsia"/>
      </w:rPr>
    </w:lvl>
  </w:abstractNum>
  <w:abstractNum w:abstractNumId="3">
    <w:nsid w:val="2339EF5A"/>
    <w:multiLevelType w:val="singleLevel"/>
    <w:tmpl w:val="2339EF5A"/>
    <w:lvl w:ilvl="0" w:tentative="0">
      <w:start w:val="1"/>
      <w:numFmt w:val="decimal"/>
      <w:suff w:val="nothing"/>
      <w:lvlText w:val="%1、"/>
      <w:lvlJc w:val="left"/>
      <w:pPr>
        <w:ind w:left="420"/>
      </w:pPr>
    </w:lvl>
  </w:abstractNum>
  <w:abstractNum w:abstractNumId="4">
    <w:nsid w:val="374AB39D"/>
    <w:multiLevelType w:val="singleLevel"/>
    <w:tmpl w:val="374AB39D"/>
    <w:lvl w:ilvl="0" w:tentative="0">
      <w:start w:val="1"/>
      <w:numFmt w:val="decimal"/>
      <w:suff w:val="nothing"/>
      <w:lvlText w:val="%1、"/>
      <w:lvlJc w:val="left"/>
      <w:pPr>
        <w:ind w:left="480" w:firstLine="0"/>
      </w:pPr>
    </w:lvl>
  </w:abstractNum>
  <w:abstractNum w:abstractNumId="5">
    <w:nsid w:val="657BD37B"/>
    <w:multiLevelType w:val="singleLevel"/>
    <w:tmpl w:val="657BD37B"/>
    <w:lvl w:ilvl="0" w:tentative="0">
      <w:start w:val="1"/>
      <w:numFmt w:val="decimal"/>
      <w:suff w:val="nothing"/>
      <w:lvlText w:val="%1、"/>
      <w:lvlJc w:val="left"/>
      <w:pPr>
        <w:ind w:left="420"/>
      </w:pPr>
      <w:rPr>
        <w:rFonts w:hint="default"/>
        <w:color w:val="auto"/>
      </w:rPr>
    </w:lvl>
  </w:abstractNum>
  <w:num w:numId="1">
    <w:abstractNumId w:val="2"/>
  </w:num>
  <w:num w:numId="2">
    <w:abstractNumId w:val="5"/>
  </w:num>
  <w:num w:numId="3">
    <w:abstractNumId w:val="1"/>
  </w:num>
  <w:num w:numId="4">
    <w:abstractNumId w:val="0"/>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FmMjgxY2RmNzA1NGRjMGY0M2FkOWU5Y2I5NjkxNjMifQ=="/>
    <w:docVar w:name="KSO_WPS_MARK_KEY" w:val="cf7e49e9-a102-4f1e-b188-b3851657f9f9"/>
  </w:docVars>
  <w:rsids>
    <w:rsidRoot w:val="00912A44"/>
    <w:rsid w:val="000573A6"/>
    <w:rsid w:val="0009689C"/>
    <w:rsid w:val="000A7180"/>
    <w:rsid w:val="000B3241"/>
    <w:rsid w:val="000D36D8"/>
    <w:rsid w:val="000E1730"/>
    <w:rsid w:val="00101EB3"/>
    <w:rsid w:val="001526C9"/>
    <w:rsid w:val="00154DCA"/>
    <w:rsid w:val="001812A7"/>
    <w:rsid w:val="00206B20"/>
    <w:rsid w:val="00237C18"/>
    <w:rsid w:val="00251BBC"/>
    <w:rsid w:val="00263AD3"/>
    <w:rsid w:val="00285433"/>
    <w:rsid w:val="002C1F12"/>
    <w:rsid w:val="002E34D9"/>
    <w:rsid w:val="0030678B"/>
    <w:rsid w:val="003915BB"/>
    <w:rsid w:val="003B3EAE"/>
    <w:rsid w:val="004500C1"/>
    <w:rsid w:val="004C32E4"/>
    <w:rsid w:val="006123C3"/>
    <w:rsid w:val="00620BE2"/>
    <w:rsid w:val="006B3308"/>
    <w:rsid w:val="006C5349"/>
    <w:rsid w:val="007065B7"/>
    <w:rsid w:val="00715763"/>
    <w:rsid w:val="00746723"/>
    <w:rsid w:val="007756CE"/>
    <w:rsid w:val="00790243"/>
    <w:rsid w:val="007B101D"/>
    <w:rsid w:val="007E6BBB"/>
    <w:rsid w:val="00821A4E"/>
    <w:rsid w:val="008519AE"/>
    <w:rsid w:val="00902101"/>
    <w:rsid w:val="00912A44"/>
    <w:rsid w:val="009328BA"/>
    <w:rsid w:val="009A3AF1"/>
    <w:rsid w:val="009C1456"/>
    <w:rsid w:val="009C2934"/>
    <w:rsid w:val="009D0BF8"/>
    <w:rsid w:val="009D2C84"/>
    <w:rsid w:val="009F5196"/>
    <w:rsid w:val="00A114DC"/>
    <w:rsid w:val="00A476F5"/>
    <w:rsid w:val="00A60AA7"/>
    <w:rsid w:val="00AF1115"/>
    <w:rsid w:val="00B765B2"/>
    <w:rsid w:val="00B82A81"/>
    <w:rsid w:val="00BA099F"/>
    <w:rsid w:val="00BB1B65"/>
    <w:rsid w:val="00C306C9"/>
    <w:rsid w:val="00C440BF"/>
    <w:rsid w:val="00C46D72"/>
    <w:rsid w:val="00C66BC2"/>
    <w:rsid w:val="00CE5DCF"/>
    <w:rsid w:val="00D1717B"/>
    <w:rsid w:val="00D96828"/>
    <w:rsid w:val="00E02FAE"/>
    <w:rsid w:val="00E07BF2"/>
    <w:rsid w:val="00E24EF4"/>
    <w:rsid w:val="00E35927"/>
    <w:rsid w:val="00E97B44"/>
    <w:rsid w:val="00ED1E53"/>
    <w:rsid w:val="00EE1492"/>
    <w:rsid w:val="00F074FF"/>
    <w:rsid w:val="00F14E70"/>
    <w:rsid w:val="00F34D82"/>
    <w:rsid w:val="00FB3085"/>
    <w:rsid w:val="00FE7141"/>
    <w:rsid w:val="00FF56BA"/>
    <w:rsid w:val="025F5E6B"/>
    <w:rsid w:val="026D3223"/>
    <w:rsid w:val="02A156A6"/>
    <w:rsid w:val="02BE65C6"/>
    <w:rsid w:val="02CE17E8"/>
    <w:rsid w:val="02D24D77"/>
    <w:rsid w:val="02E031C7"/>
    <w:rsid w:val="0341641C"/>
    <w:rsid w:val="03516618"/>
    <w:rsid w:val="03CA1FAF"/>
    <w:rsid w:val="04233EDB"/>
    <w:rsid w:val="04710886"/>
    <w:rsid w:val="048C2CF2"/>
    <w:rsid w:val="04AF0B48"/>
    <w:rsid w:val="04D05CEB"/>
    <w:rsid w:val="04E96791"/>
    <w:rsid w:val="04F74542"/>
    <w:rsid w:val="04F9596A"/>
    <w:rsid w:val="051A04B6"/>
    <w:rsid w:val="0558691B"/>
    <w:rsid w:val="057534A8"/>
    <w:rsid w:val="05A866A1"/>
    <w:rsid w:val="062F6EE0"/>
    <w:rsid w:val="06595702"/>
    <w:rsid w:val="06A7239F"/>
    <w:rsid w:val="06B74EC6"/>
    <w:rsid w:val="07106873"/>
    <w:rsid w:val="08146CAF"/>
    <w:rsid w:val="08182416"/>
    <w:rsid w:val="08713341"/>
    <w:rsid w:val="08F655F4"/>
    <w:rsid w:val="091A7535"/>
    <w:rsid w:val="09756442"/>
    <w:rsid w:val="0A672CE2"/>
    <w:rsid w:val="0A9B3C10"/>
    <w:rsid w:val="0B052B16"/>
    <w:rsid w:val="0B0E45DB"/>
    <w:rsid w:val="0B70168E"/>
    <w:rsid w:val="0B93580C"/>
    <w:rsid w:val="0BBC2A21"/>
    <w:rsid w:val="0BBE064B"/>
    <w:rsid w:val="0BBE4AEF"/>
    <w:rsid w:val="0BC66564"/>
    <w:rsid w:val="0C1D5606"/>
    <w:rsid w:val="0C3954D4"/>
    <w:rsid w:val="0C420457"/>
    <w:rsid w:val="0C6E2D49"/>
    <w:rsid w:val="0D2E3E1D"/>
    <w:rsid w:val="0D364D6D"/>
    <w:rsid w:val="0D365F0E"/>
    <w:rsid w:val="0D4C13CD"/>
    <w:rsid w:val="0DE95727"/>
    <w:rsid w:val="0E0B5A1E"/>
    <w:rsid w:val="0FAB7138"/>
    <w:rsid w:val="0FD14F80"/>
    <w:rsid w:val="0FF95498"/>
    <w:rsid w:val="10730933"/>
    <w:rsid w:val="10BA5B9A"/>
    <w:rsid w:val="10C502F0"/>
    <w:rsid w:val="10FD06A8"/>
    <w:rsid w:val="113A0E36"/>
    <w:rsid w:val="117A14B8"/>
    <w:rsid w:val="11C72224"/>
    <w:rsid w:val="12044D63"/>
    <w:rsid w:val="12103BCB"/>
    <w:rsid w:val="12BA5CE6"/>
    <w:rsid w:val="12BD6929"/>
    <w:rsid w:val="12D81AC0"/>
    <w:rsid w:val="12E00C08"/>
    <w:rsid w:val="133B7529"/>
    <w:rsid w:val="13D413DF"/>
    <w:rsid w:val="14182B27"/>
    <w:rsid w:val="144C20EC"/>
    <w:rsid w:val="14CB3884"/>
    <w:rsid w:val="14ED6343"/>
    <w:rsid w:val="152F185C"/>
    <w:rsid w:val="157B5F97"/>
    <w:rsid w:val="15AF7016"/>
    <w:rsid w:val="15C5065C"/>
    <w:rsid w:val="161B669A"/>
    <w:rsid w:val="17FB294F"/>
    <w:rsid w:val="18786C87"/>
    <w:rsid w:val="18D56BD7"/>
    <w:rsid w:val="1927198D"/>
    <w:rsid w:val="19286289"/>
    <w:rsid w:val="1939197A"/>
    <w:rsid w:val="19FE25F1"/>
    <w:rsid w:val="1AB22AC3"/>
    <w:rsid w:val="1AC669C5"/>
    <w:rsid w:val="1B883BFA"/>
    <w:rsid w:val="1BCC3B0F"/>
    <w:rsid w:val="1C0A258D"/>
    <w:rsid w:val="1C6E5179"/>
    <w:rsid w:val="1C9C6787"/>
    <w:rsid w:val="1CE61C7E"/>
    <w:rsid w:val="1D101863"/>
    <w:rsid w:val="1D786740"/>
    <w:rsid w:val="1DF919B7"/>
    <w:rsid w:val="1E016059"/>
    <w:rsid w:val="1E671D89"/>
    <w:rsid w:val="1E6A6411"/>
    <w:rsid w:val="1F46413A"/>
    <w:rsid w:val="20170D02"/>
    <w:rsid w:val="20F52909"/>
    <w:rsid w:val="214712D7"/>
    <w:rsid w:val="216158DD"/>
    <w:rsid w:val="21986940"/>
    <w:rsid w:val="21C240D9"/>
    <w:rsid w:val="21F55869"/>
    <w:rsid w:val="222F7FAB"/>
    <w:rsid w:val="22490ADA"/>
    <w:rsid w:val="22D81928"/>
    <w:rsid w:val="22D94C19"/>
    <w:rsid w:val="230D426F"/>
    <w:rsid w:val="23243531"/>
    <w:rsid w:val="23433B63"/>
    <w:rsid w:val="239879A2"/>
    <w:rsid w:val="23A36468"/>
    <w:rsid w:val="23A74B25"/>
    <w:rsid w:val="242A0B1C"/>
    <w:rsid w:val="24390D5F"/>
    <w:rsid w:val="252C2672"/>
    <w:rsid w:val="25BE375B"/>
    <w:rsid w:val="25C73E7C"/>
    <w:rsid w:val="25E06E50"/>
    <w:rsid w:val="261F21D6"/>
    <w:rsid w:val="26A14D0A"/>
    <w:rsid w:val="26A61FB0"/>
    <w:rsid w:val="26F13F98"/>
    <w:rsid w:val="26F176CF"/>
    <w:rsid w:val="274E077C"/>
    <w:rsid w:val="27586F25"/>
    <w:rsid w:val="28153891"/>
    <w:rsid w:val="28393421"/>
    <w:rsid w:val="286D7528"/>
    <w:rsid w:val="28766E96"/>
    <w:rsid w:val="28883872"/>
    <w:rsid w:val="29235B3A"/>
    <w:rsid w:val="29824F56"/>
    <w:rsid w:val="2987267E"/>
    <w:rsid w:val="299B081E"/>
    <w:rsid w:val="29C721E5"/>
    <w:rsid w:val="2A010115"/>
    <w:rsid w:val="2AB473E3"/>
    <w:rsid w:val="2AB80A62"/>
    <w:rsid w:val="2AC4222E"/>
    <w:rsid w:val="2AEC6454"/>
    <w:rsid w:val="2B052A81"/>
    <w:rsid w:val="2B150A38"/>
    <w:rsid w:val="2B9920E3"/>
    <w:rsid w:val="2BC36CD5"/>
    <w:rsid w:val="2BE90F93"/>
    <w:rsid w:val="2BFD0848"/>
    <w:rsid w:val="2C6A4377"/>
    <w:rsid w:val="2D577CE8"/>
    <w:rsid w:val="2D7E28F3"/>
    <w:rsid w:val="2D935407"/>
    <w:rsid w:val="2E297EA0"/>
    <w:rsid w:val="2EB84112"/>
    <w:rsid w:val="2FA00426"/>
    <w:rsid w:val="2FC531EA"/>
    <w:rsid w:val="310B51BE"/>
    <w:rsid w:val="31101099"/>
    <w:rsid w:val="3186201A"/>
    <w:rsid w:val="31972760"/>
    <w:rsid w:val="31B44FE2"/>
    <w:rsid w:val="31DE5646"/>
    <w:rsid w:val="32080BB2"/>
    <w:rsid w:val="322357A1"/>
    <w:rsid w:val="322A618B"/>
    <w:rsid w:val="32494CEE"/>
    <w:rsid w:val="325F3A08"/>
    <w:rsid w:val="328529D0"/>
    <w:rsid w:val="32872256"/>
    <w:rsid w:val="3422536C"/>
    <w:rsid w:val="344B6FB2"/>
    <w:rsid w:val="344F20D8"/>
    <w:rsid w:val="34991A91"/>
    <w:rsid w:val="34C3624A"/>
    <w:rsid w:val="350B4EA6"/>
    <w:rsid w:val="35134029"/>
    <w:rsid w:val="3531156E"/>
    <w:rsid w:val="3589141A"/>
    <w:rsid w:val="359E29CA"/>
    <w:rsid w:val="362A3F38"/>
    <w:rsid w:val="365A504C"/>
    <w:rsid w:val="368D0A96"/>
    <w:rsid w:val="36B01B4B"/>
    <w:rsid w:val="37A524F8"/>
    <w:rsid w:val="38804D57"/>
    <w:rsid w:val="39E435A6"/>
    <w:rsid w:val="3A570EEA"/>
    <w:rsid w:val="3A824C51"/>
    <w:rsid w:val="3A85157A"/>
    <w:rsid w:val="3AC855FD"/>
    <w:rsid w:val="3AE3016D"/>
    <w:rsid w:val="3AFE5F43"/>
    <w:rsid w:val="3B392F9B"/>
    <w:rsid w:val="3B8A44AF"/>
    <w:rsid w:val="3B9A65BB"/>
    <w:rsid w:val="3BCB62A6"/>
    <w:rsid w:val="3BCE60D7"/>
    <w:rsid w:val="3C3D7AFF"/>
    <w:rsid w:val="3CA53FC3"/>
    <w:rsid w:val="3CF55A0F"/>
    <w:rsid w:val="3DA65E28"/>
    <w:rsid w:val="3E7C6B8A"/>
    <w:rsid w:val="3ED21108"/>
    <w:rsid w:val="3FF43147"/>
    <w:rsid w:val="4026038E"/>
    <w:rsid w:val="405E4C20"/>
    <w:rsid w:val="40713985"/>
    <w:rsid w:val="40D32442"/>
    <w:rsid w:val="412C782A"/>
    <w:rsid w:val="415C5B72"/>
    <w:rsid w:val="418A09F4"/>
    <w:rsid w:val="42002CDB"/>
    <w:rsid w:val="429B6067"/>
    <w:rsid w:val="43037210"/>
    <w:rsid w:val="432D2338"/>
    <w:rsid w:val="433464BD"/>
    <w:rsid w:val="43D16172"/>
    <w:rsid w:val="43DE405E"/>
    <w:rsid w:val="44123C78"/>
    <w:rsid w:val="441659FF"/>
    <w:rsid w:val="443E6856"/>
    <w:rsid w:val="4497183B"/>
    <w:rsid w:val="44C52EFC"/>
    <w:rsid w:val="45B20A8F"/>
    <w:rsid w:val="460D578A"/>
    <w:rsid w:val="46B569DA"/>
    <w:rsid w:val="479003E6"/>
    <w:rsid w:val="490307A7"/>
    <w:rsid w:val="49A865D3"/>
    <w:rsid w:val="4A194C3D"/>
    <w:rsid w:val="4A770C91"/>
    <w:rsid w:val="4AE86F32"/>
    <w:rsid w:val="4AF84C20"/>
    <w:rsid w:val="4B3724BB"/>
    <w:rsid w:val="4B80075D"/>
    <w:rsid w:val="4BFB532D"/>
    <w:rsid w:val="4CCA3BA9"/>
    <w:rsid w:val="4CDB1208"/>
    <w:rsid w:val="4CFA0365"/>
    <w:rsid w:val="4D072910"/>
    <w:rsid w:val="4D115A20"/>
    <w:rsid w:val="4DB67604"/>
    <w:rsid w:val="4DC01E16"/>
    <w:rsid w:val="4E311534"/>
    <w:rsid w:val="4E5C386E"/>
    <w:rsid w:val="4E785E6D"/>
    <w:rsid w:val="4EAE2388"/>
    <w:rsid w:val="4EC352C6"/>
    <w:rsid w:val="4EC45545"/>
    <w:rsid w:val="4EF37883"/>
    <w:rsid w:val="4F251D5C"/>
    <w:rsid w:val="4F950654"/>
    <w:rsid w:val="4F975DD3"/>
    <w:rsid w:val="4FC33721"/>
    <w:rsid w:val="4FC542D6"/>
    <w:rsid w:val="4FE845E0"/>
    <w:rsid w:val="500222AF"/>
    <w:rsid w:val="503209A0"/>
    <w:rsid w:val="50C755E3"/>
    <w:rsid w:val="50C7569B"/>
    <w:rsid w:val="51170D43"/>
    <w:rsid w:val="514D7C78"/>
    <w:rsid w:val="516440DC"/>
    <w:rsid w:val="517E41AF"/>
    <w:rsid w:val="51BA58AC"/>
    <w:rsid w:val="51C25A07"/>
    <w:rsid w:val="51C561E0"/>
    <w:rsid w:val="51CB51DB"/>
    <w:rsid w:val="51E54497"/>
    <w:rsid w:val="520E6AD8"/>
    <w:rsid w:val="5233019C"/>
    <w:rsid w:val="52623397"/>
    <w:rsid w:val="52B2497A"/>
    <w:rsid w:val="53402049"/>
    <w:rsid w:val="537C5713"/>
    <w:rsid w:val="540B1521"/>
    <w:rsid w:val="544D0DCD"/>
    <w:rsid w:val="54FF3E42"/>
    <w:rsid w:val="550A578A"/>
    <w:rsid w:val="5685091C"/>
    <w:rsid w:val="569E1F65"/>
    <w:rsid w:val="56BA0FDC"/>
    <w:rsid w:val="56E15248"/>
    <w:rsid w:val="579A35BF"/>
    <w:rsid w:val="57BE68AA"/>
    <w:rsid w:val="57C8653F"/>
    <w:rsid w:val="580A33C0"/>
    <w:rsid w:val="581540BD"/>
    <w:rsid w:val="584347FF"/>
    <w:rsid w:val="58DE0B10"/>
    <w:rsid w:val="590F1857"/>
    <w:rsid w:val="593060C2"/>
    <w:rsid w:val="59623427"/>
    <w:rsid w:val="59A74B3D"/>
    <w:rsid w:val="5A307F33"/>
    <w:rsid w:val="5A39434D"/>
    <w:rsid w:val="5A9C5DB6"/>
    <w:rsid w:val="5B1A63B6"/>
    <w:rsid w:val="5B3B184B"/>
    <w:rsid w:val="5B42315A"/>
    <w:rsid w:val="5C0961F9"/>
    <w:rsid w:val="5CA139A5"/>
    <w:rsid w:val="5D231B8B"/>
    <w:rsid w:val="5D326001"/>
    <w:rsid w:val="5D420294"/>
    <w:rsid w:val="5D7B3BA8"/>
    <w:rsid w:val="5EB87C47"/>
    <w:rsid w:val="5EE66828"/>
    <w:rsid w:val="5FBE2F38"/>
    <w:rsid w:val="5FDE0C6D"/>
    <w:rsid w:val="6072561F"/>
    <w:rsid w:val="60AB7677"/>
    <w:rsid w:val="60C30AE4"/>
    <w:rsid w:val="61163C0C"/>
    <w:rsid w:val="62B66D25"/>
    <w:rsid w:val="631017F1"/>
    <w:rsid w:val="63403B1D"/>
    <w:rsid w:val="63544A9A"/>
    <w:rsid w:val="63624EAC"/>
    <w:rsid w:val="64382428"/>
    <w:rsid w:val="64F47002"/>
    <w:rsid w:val="657E123C"/>
    <w:rsid w:val="65960D62"/>
    <w:rsid w:val="661D1FE7"/>
    <w:rsid w:val="66384BCC"/>
    <w:rsid w:val="66787BF9"/>
    <w:rsid w:val="669716D4"/>
    <w:rsid w:val="66E95D10"/>
    <w:rsid w:val="673366EC"/>
    <w:rsid w:val="673441CB"/>
    <w:rsid w:val="675A1815"/>
    <w:rsid w:val="67C64731"/>
    <w:rsid w:val="68550B65"/>
    <w:rsid w:val="685C0145"/>
    <w:rsid w:val="68786247"/>
    <w:rsid w:val="68E62BD5"/>
    <w:rsid w:val="691A06C6"/>
    <w:rsid w:val="6A011570"/>
    <w:rsid w:val="6A393193"/>
    <w:rsid w:val="6AB46045"/>
    <w:rsid w:val="6ABC2D30"/>
    <w:rsid w:val="6AE941EB"/>
    <w:rsid w:val="6B0A2018"/>
    <w:rsid w:val="6B1B6095"/>
    <w:rsid w:val="6B212AFD"/>
    <w:rsid w:val="6B416EFE"/>
    <w:rsid w:val="6B5C045C"/>
    <w:rsid w:val="6BEE2E0C"/>
    <w:rsid w:val="6C106D17"/>
    <w:rsid w:val="6C136D6D"/>
    <w:rsid w:val="6C361AB7"/>
    <w:rsid w:val="6C4B4B3C"/>
    <w:rsid w:val="6C801326"/>
    <w:rsid w:val="6D1E1E6D"/>
    <w:rsid w:val="6D463EAB"/>
    <w:rsid w:val="6D466740"/>
    <w:rsid w:val="6D4870F6"/>
    <w:rsid w:val="6D765F0E"/>
    <w:rsid w:val="6D87119A"/>
    <w:rsid w:val="6D9762EA"/>
    <w:rsid w:val="6DC81DD9"/>
    <w:rsid w:val="6E71421E"/>
    <w:rsid w:val="6E7A5833"/>
    <w:rsid w:val="6EB4024E"/>
    <w:rsid w:val="6EF1212F"/>
    <w:rsid w:val="6F013D03"/>
    <w:rsid w:val="6FA06C08"/>
    <w:rsid w:val="70101F83"/>
    <w:rsid w:val="705B1CD4"/>
    <w:rsid w:val="708F1675"/>
    <w:rsid w:val="70C97DF0"/>
    <w:rsid w:val="70D9318C"/>
    <w:rsid w:val="70DB62B7"/>
    <w:rsid w:val="71597A7D"/>
    <w:rsid w:val="71663887"/>
    <w:rsid w:val="7187556B"/>
    <w:rsid w:val="71A16BC9"/>
    <w:rsid w:val="71A4517F"/>
    <w:rsid w:val="71E50526"/>
    <w:rsid w:val="720127B7"/>
    <w:rsid w:val="72037883"/>
    <w:rsid w:val="720F447A"/>
    <w:rsid w:val="7212231F"/>
    <w:rsid w:val="723F0BC9"/>
    <w:rsid w:val="724369E1"/>
    <w:rsid w:val="73612AB3"/>
    <w:rsid w:val="73686789"/>
    <w:rsid w:val="73A3131E"/>
    <w:rsid w:val="73B2651C"/>
    <w:rsid w:val="74271BF7"/>
    <w:rsid w:val="74B2437C"/>
    <w:rsid w:val="75371F54"/>
    <w:rsid w:val="75A43ED1"/>
    <w:rsid w:val="75C041F2"/>
    <w:rsid w:val="76FE1523"/>
    <w:rsid w:val="770E4D00"/>
    <w:rsid w:val="774F47F5"/>
    <w:rsid w:val="77B85A14"/>
    <w:rsid w:val="78341740"/>
    <w:rsid w:val="785B04FA"/>
    <w:rsid w:val="78BD097C"/>
    <w:rsid w:val="790F72DB"/>
    <w:rsid w:val="7AB06C72"/>
    <w:rsid w:val="7B37767A"/>
    <w:rsid w:val="7BDF4EBD"/>
    <w:rsid w:val="7C091598"/>
    <w:rsid w:val="7CD51E4B"/>
    <w:rsid w:val="7D6E2C9B"/>
    <w:rsid w:val="7DB52379"/>
    <w:rsid w:val="7E6A47AC"/>
    <w:rsid w:val="7E8C6DD2"/>
    <w:rsid w:val="7EFA4D5D"/>
    <w:rsid w:val="7EFB0260"/>
    <w:rsid w:val="7FA476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5"/>
    <w:qFormat/>
    <w:uiPriority w:val="0"/>
    <w:pPr>
      <w:keepNext/>
      <w:keepLines/>
      <w:spacing w:line="576" w:lineRule="auto"/>
      <w:outlineLvl w:val="0"/>
    </w:pPr>
    <w:rPr>
      <w:b/>
      <w:kern w:val="44"/>
      <w:sz w:val="44"/>
    </w:rPr>
  </w:style>
  <w:style w:type="paragraph" w:styleId="3">
    <w:name w:val="heading 2"/>
    <w:basedOn w:val="1"/>
    <w:next w:val="1"/>
    <w:link w:val="31"/>
    <w:unhideWhenUsed/>
    <w:qFormat/>
    <w:uiPriority w:val="0"/>
    <w:pPr>
      <w:keepNext/>
      <w:keepLines/>
      <w:spacing w:line="413" w:lineRule="auto"/>
      <w:outlineLvl w:val="1"/>
    </w:pPr>
    <w:rPr>
      <w:rFonts w:ascii="Arial" w:hAnsi="Arial" w:eastAsia="黑体"/>
      <w:b/>
      <w:sz w:val="32"/>
    </w:rPr>
  </w:style>
  <w:style w:type="paragraph" w:styleId="4">
    <w:name w:val="heading 3"/>
    <w:basedOn w:val="1"/>
    <w:next w:val="1"/>
    <w:link w:val="27"/>
    <w:semiHidden/>
    <w:unhideWhenUsed/>
    <w:qFormat/>
    <w:uiPriority w:val="0"/>
    <w:pPr>
      <w:keepNext/>
      <w:keepLines/>
      <w:spacing w:line="413" w:lineRule="auto"/>
      <w:outlineLvl w:val="2"/>
    </w:pPr>
    <w:rPr>
      <w:b/>
      <w:sz w:val="32"/>
    </w:rPr>
  </w:style>
  <w:style w:type="paragraph" w:styleId="5">
    <w:name w:val="heading 4"/>
    <w:basedOn w:val="1"/>
    <w:next w:val="1"/>
    <w:link w:val="33"/>
    <w:semiHidden/>
    <w:unhideWhenUsed/>
    <w:qFormat/>
    <w:uiPriority w:val="0"/>
    <w:pPr>
      <w:keepNext/>
      <w:keepLines/>
      <w:spacing w:line="372" w:lineRule="auto"/>
      <w:outlineLvl w:val="3"/>
    </w:pPr>
    <w:rPr>
      <w:rFonts w:ascii="Arial" w:hAnsi="Arial" w:eastAsia="黑体"/>
      <w:b/>
      <w:sz w:val="28"/>
    </w:rPr>
  </w:style>
  <w:style w:type="character" w:default="1" w:styleId="20">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6">
    <w:name w:val="Body Text"/>
    <w:basedOn w:val="1"/>
    <w:link w:val="28"/>
    <w:qFormat/>
    <w:uiPriority w:val="0"/>
  </w:style>
  <w:style w:type="paragraph" w:styleId="7">
    <w:name w:val="Body Text Indent"/>
    <w:basedOn w:val="1"/>
    <w:next w:val="8"/>
    <w:link w:val="32"/>
    <w:qFormat/>
    <w:uiPriority w:val="0"/>
    <w:pPr>
      <w:ind w:left="420" w:leftChars="200"/>
    </w:pPr>
  </w:style>
  <w:style w:type="paragraph" w:styleId="8">
    <w:name w:val="envelope return"/>
    <w:basedOn w:val="1"/>
    <w:qFormat/>
    <w:uiPriority w:val="0"/>
    <w:pPr>
      <w:snapToGrid w:val="0"/>
    </w:pPr>
    <w:rPr>
      <w:rFonts w:ascii="Arial" w:hAnsi="Arial"/>
    </w:rPr>
  </w:style>
  <w:style w:type="paragraph" w:styleId="9">
    <w:name w:val="Plain Text"/>
    <w:basedOn w:val="1"/>
    <w:link w:val="26"/>
    <w:qFormat/>
    <w:uiPriority w:val="0"/>
    <w:rPr>
      <w:rFonts w:ascii="宋体" w:hAnsi="Courier New"/>
    </w:rPr>
  </w:style>
  <w:style w:type="paragraph" w:styleId="10">
    <w:name w:val="Date"/>
    <w:basedOn w:val="1"/>
    <w:next w:val="1"/>
    <w:link w:val="29"/>
    <w:qFormat/>
    <w:uiPriority w:val="0"/>
    <w:pPr>
      <w:ind w:left="100" w:leftChars="2500"/>
    </w:pPr>
  </w:style>
  <w:style w:type="paragraph" w:styleId="11">
    <w:name w:val="Body Text Indent 2"/>
    <w:basedOn w:val="1"/>
    <w:link w:val="23"/>
    <w:qFormat/>
    <w:uiPriority w:val="0"/>
    <w:pPr>
      <w:spacing w:line="480" w:lineRule="auto"/>
      <w:ind w:left="420" w:leftChars="200"/>
    </w:pPr>
  </w:style>
  <w:style w:type="paragraph" w:styleId="12">
    <w:name w:val="Balloon Text"/>
    <w:basedOn w:val="1"/>
    <w:link w:val="34"/>
    <w:qFormat/>
    <w:uiPriority w:val="0"/>
    <w:rPr>
      <w:sz w:val="18"/>
    </w:rPr>
  </w:style>
  <w:style w:type="paragraph" w:styleId="13">
    <w:name w:val="footer"/>
    <w:basedOn w:val="1"/>
    <w:link w:val="37"/>
    <w:qFormat/>
    <w:uiPriority w:val="0"/>
    <w:pPr>
      <w:tabs>
        <w:tab w:val="center" w:pos="4153"/>
        <w:tab w:val="right" w:pos="8306"/>
      </w:tabs>
      <w:snapToGrid w:val="0"/>
      <w:jc w:val="left"/>
    </w:pPr>
    <w:rPr>
      <w:sz w:val="18"/>
    </w:rPr>
  </w:style>
  <w:style w:type="paragraph" w:styleId="14">
    <w:name w:val="header"/>
    <w:basedOn w:val="1"/>
    <w:link w:val="35"/>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5">
    <w:name w:val="Body Text Indent 3"/>
    <w:basedOn w:val="1"/>
    <w:link w:val="30"/>
    <w:qFormat/>
    <w:uiPriority w:val="0"/>
    <w:pPr>
      <w:ind w:left="420" w:leftChars="200"/>
    </w:pPr>
    <w:rPr>
      <w:sz w:val="16"/>
    </w:rPr>
  </w:style>
  <w:style w:type="paragraph" w:styleId="16">
    <w:name w:val="Body Text 2"/>
    <w:basedOn w:val="1"/>
    <w:link w:val="24"/>
    <w:qFormat/>
    <w:uiPriority w:val="0"/>
    <w:pPr>
      <w:spacing w:line="480" w:lineRule="auto"/>
    </w:pPr>
  </w:style>
  <w:style w:type="paragraph" w:styleId="17">
    <w:name w:val="Normal (Web)"/>
    <w:basedOn w:val="1"/>
    <w:qFormat/>
    <w:uiPriority w:val="0"/>
    <w:pPr>
      <w:spacing w:beforeAutospacing="1" w:afterAutospacing="1"/>
      <w:jc w:val="left"/>
    </w:pPr>
    <w:rPr>
      <w:kern w:val="0"/>
      <w:sz w:val="24"/>
    </w:rPr>
  </w:style>
  <w:style w:type="paragraph" w:styleId="18">
    <w:name w:val="Body Text First Indent 2"/>
    <w:basedOn w:val="7"/>
    <w:qFormat/>
    <w:uiPriority w:val="0"/>
    <w:pPr>
      <w:ind w:firstLine="420" w:firstLineChars="200"/>
    </w:pPr>
  </w:style>
  <w:style w:type="character" w:styleId="21">
    <w:name w:val="FollowedHyperlink"/>
    <w:basedOn w:val="20"/>
    <w:qFormat/>
    <w:uiPriority w:val="0"/>
    <w:rPr>
      <w:color w:val="800080"/>
      <w:u w:val="single"/>
    </w:rPr>
  </w:style>
  <w:style w:type="character" w:styleId="22">
    <w:name w:val="Hyperlink"/>
    <w:basedOn w:val="20"/>
    <w:qFormat/>
    <w:uiPriority w:val="0"/>
    <w:rPr>
      <w:color w:val="0000FF"/>
      <w:u w:val="single"/>
    </w:rPr>
  </w:style>
  <w:style w:type="character" w:customStyle="1" w:styleId="23">
    <w:name w:val="正文文本缩进 2 字符"/>
    <w:basedOn w:val="20"/>
    <w:link w:val="11"/>
    <w:qFormat/>
    <w:uiPriority w:val="0"/>
    <w:rPr>
      <w:rFonts w:hint="default" w:ascii="Times New Roman" w:hAnsi="Times New Roman" w:cs="Times New Roman"/>
    </w:rPr>
  </w:style>
  <w:style w:type="character" w:customStyle="1" w:styleId="24">
    <w:name w:val="正文文本 2 字符"/>
    <w:basedOn w:val="20"/>
    <w:link w:val="16"/>
    <w:qFormat/>
    <w:uiPriority w:val="0"/>
    <w:rPr>
      <w:rFonts w:ascii="黑体" w:hAnsi="宋体" w:eastAsia="黑体" w:cs="黑体"/>
      <w:b/>
    </w:rPr>
  </w:style>
  <w:style w:type="character" w:customStyle="1" w:styleId="25">
    <w:name w:val="标题 1 字符"/>
    <w:basedOn w:val="20"/>
    <w:link w:val="2"/>
    <w:qFormat/>
    <w:uiPriority w:val="0"/>
    <w:rPr>
      <w:b/>
    </w:rPr>
  </w:style>
  <w:style w:type="character" w:customStyle="1" w:styleId="26">
    <w:name w:val="纯文本 字符"/>
    <w:basedOn w:val="20"/>
    <w:link w:val="9"/>
    <w:qFormat/>
    <w:uiPriority w:val="0"/>
    <w:rPr>
      <w:rFonts w:hint="eastAsia" w:ascii="宋体" w:hAnsi="宋体" w:eastAsia="宋体" w:cs="宋体"/>
    </w:rPr>
  </w:style>
  <w:style w:type="character" w:customStyle="1" w:styleId="27">
    <w:name w:val="标题 3 字符"/>
    <w:basedOn w:val="20"/>
    <w:link w:val="4"/>
    <w:qFormat/>
    <w:uiPriority w:val="0"/>
    <w:rPr>
      <w:b/>
    </w:rPr>
  </w:style>
  <w:style w:type="character" w:customStyle="1" w:styleId="28">
    <w:name w:val="正文文本 字符"/>
    <w:basedOn w:val="20"/>
    <w:link w:val="6"/>
    <w:qFormat/>
    <w:uiPriority w:val="0"/>
    <w:rPr>
      <w:rFonts w:ascii="仿宋_GB2312" w:eastAsia="仿宋_GB2312" w:cs="仿宋_GB2312"/>
    </w:rPr>
  </w:style>
  <w:style w:type="character" w:customStyle="1" w:styleId="29">
    <w:name w:val="日期 字符"/>
    <w:basedOn w:val="20"/>
    <w:link w:val="10"/>
    <w:qFormat/>
    <w:uiPriority w:val="0"/>
  </w:style>
  <w:style w:type="character" w:customStyle="1" w:styleId="30">
    <w:name w:val="正文文本缩进 3 字符"/>
    <w:basedOn w:val="20"/>
    <w:link w:val="15"/>
    <w:qFormat/>
    <w:uiPriority w:val="0"/>
    <w:rPr>
      <w:rFonts w:hint="default" w:ascii="Times New Roman" w:hAnsi="Times New Roman" w:cs="Times New Roman"/>
      <w:shd w:val="clear" w:color="auto" w:fill="FFFFFF"/>
    </w:rPr>
  </w:style>
  <w:style w:type="character" w:customStyle="1" w:styleId="31">
    <w:name w:val="标题 2 字符"/>
    <w:basedOn w:val="20"/>
    <w:link w:val="3"/>
    <w:qFormat/>
    <w:uiPriority w:val="0"/>
    <w:rPr>
      <w:rFonts w:ascii="等线 Light" w:hAnsi="等线 Light" w:eastAsia="等线 Light" w:cs="等线 Light"/>
      <w:b/>
    </w:rPr>
  </w:style>
  <w:style w:type="character" w:customStyle="1" w:styleId="32">
    <w:name w:val="正文文本缩进 字符"/>
    <w:basedOn w:val="20"/>
    <w:link w:val="7"/>
    <w:qFormat/>
    <w:uiPriority w:val="0"/>
    <w:rPr>
      <w:rFonts w:hint="default" w:ascii="仿宋_GB2312" w:eastAsia="仿宋_GB2312" w:cs="仿宋_GB2312"/>
    </w:rPr>
  </w:style>
  <w:style w:type="character" w:customStyle="1" w:styleId="33">
    <w:name w:val="标题 4 字符"/>
    <w:basedOn w:val="20"/>
    <w:link w:val="5"/>
    <w:qFormat/>
    <w:uiPriority w:val="0"/>
    <w:rPr>
      <w:rFonts w:hint="eastAsia" w:ascii="等线 Light" w:hAnsi="等线 Light" w:eastAsia="等线 Light" w:cs="等线 Light"/>
      <w:b/>
    </w:rPr>
  </w:style>
  <w:style w:type="character" w:customStyle="1" w:styleId="34">
    <w:name w:val="批注框文本 字符"/>
    <w:basedOn w:val="20"/>
    <w:link w:val="12"/>
    <w:qFormat/>
    <w:uiPriority w:val="0"/>
  </w:style>
  <w:style w:type="character" w:customStyle="1" w:styleId="35">
    <w:name w:val="页眉 字符"/>
    <w:basedOn w:val="20"/>
    <w:link w:val="14"/>
    <w:qFormat/>
    <w:uiPriority w:val="0"/>
    <w:rPr>
      <w:rFonts w:hint="default" w:ascii="Times New Roman" w:hAnsi="Times New Roman" w:cs="Times New Roman"/>
    </w:rPr>
  </w:style>
  <w:style w:type="character" w:customStyle="1" w:styleId="36">
    <w:name w:val="要点2"/>
    <w:basedOn w:val="20"/>
    <w:qFormat/>
    <w:uiPriority w:val="0"/>
    <w:rPr>
      <w:b/>
      <w:color w:val="111111"/>
    </w:rPr>
  </w:style>
  <w:style w:type="character" w:customStyle="1" w:styleId="37">
    <w:name w:val="页脚 字符"/>
    <w:basedOn w:val="20"/>
    <w:link w:val="13"/>
    <w:qFormat/>
    <w:uiPriority w:val="0"/>
    <w:rPr>
      <w:rFonts w:hint="default" w:ascii="Times New Roman" w:hAnsi="Times New Roman" w:cs="Times New Roman"/>
    </w:rPr>
  </w:style>
  <w:style w:type="paragraph" w:styleId="3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1405</Words>
  <Characters>1539</Characters>
  <Lines>18</Lines>
  <Paragraphs>5</Paragraphs>
  <TotalTime>36</TotalTime>
  <ScaleCrop>false</ScaleCrop>
  <LinksUpToDate>false</LinksUpToDate>
  <CharactersWithSpaces>1542</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2020-05-12T02:38:00Z</dcterms:created>
  <dc:creator>Administrator</dc:creator>
  <cp:lastModifiedBy>浪子柔情1421225010</cp:lastModifiedBy>
  <cp:lastPrinted>2024-11-21T00:54:00Z</cp:lastPrinted>
  <dcterms:modified xsi:type="dcterms:W3CDTF">2025-10-31T01:05:42Z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B9EFCA83F1DC4777B61C3085B89037F1_13</vt:lpwstr>
  </property>
  <property fmtid="{D5CDD505-2E9C-101B-9397-08002B2CF9AE}" pid="4" name="KSOTemplateDocerSaveRecord">
    <vt:lpwstr>eyJoZGlkIjoiN2M4MTI3ZTVlY2FjZmRmMjQ3NjllNzczZGRlMDI4M2UiLCJ1c2VySWQiOiIyODY0MjA3MCJ9</vt:lpwstr>
  </property>
</Properties>
</file>